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jc w:val="center"/>
        <w:rPr>
          <w:rFonts w:ascii="Times New Roman" w:hAnsi="Times New Roman" w:cs="Times New Roman"/>
          <w:sz w:val="24"/>
          <w:szCs w:val="24"/>
          <w:lang w:val="ru-RU"/>
        </w:rPr>
      </w:pPr>
      <w:r>
        <w:rPr>
          <w:rFonts w:ascii="Times New Roman" w:hAnsi="Times New Roman" w:cs="Times New Roman"/>
          <w:b/>
          <w:bCs/>
          <w:sz w:val="24"/>
          <w:szCs w:val="24"/>
        </w:rPr>
        <w:t xml:space="preserve">Приказ </w:t>
      </w:r>
      <w:r>
        <w:rPr>
          <w:rFonts w:ascii="Times New Roman" w:hAnsi="Times New Roman" w:cs="Times New Roman"/>
          <w:b/>
          <w:bCs/>
          <w:sz w:val="24"/>
          <w:szCs w:val="24"/>
          <w:lang w:val="ru-RU"/>
        </w:rPr>
        <w:t>№</w:t>
      </w:r>
      <w:r>
        <w:rPr>
          <w:rFonts w:ascii="Times New Roman" w:hAnsi="Times New Roman" w:cs="Times New Roman"/>
          <w:b/>
          <w:bCs/>
          <w:sz w:val="24"/>
          <w:szCs w:val="24"/>
        </w:rPr>
        <w:t xml:space="preserve"> 1</w:t>
      </w:r>
      <w:r>
        <w:rPr>
          <w:rFonts w:ascii="Times New Roman" w:hAnsi="Times New Roman" w:cs="Times New Roman"/>
          <w:b/>
          <w:bCs/>
          <w:sz w:val="24"/>
          <w:szCs w:val="24"/>
          <w:lang w:val="ru-RU"/>
        </w:rPr>
        <w:t>95</w:t>
      </w:r>
    </w:p>
    <w:p>
      <w:pPr>
        <w:pStyle w:val="44"/>
        <w:jc w:val="center"/>
        <w:rPr>
          <w:rFonts w:ascii="Times New Roman" w:hAnsi="Times New Roman" w:cs="Times New Roman"/>
          <w:sz w:val="24"/>
          <w:szCs w:val="24"/>
        </w:rPr>
      </w:pPr>
      <w:r>
        <w:rPr>
          <w:rFonts w:ascii="Times New Roman" w:hAnsi="Times New Roman" w:cs="Times New Roman"/>
          <w:sz w:val="24"/>
          <w:szCs w:val="24"/>
        </w:rPr>
        <w:t>Об утверждении Учетной политики</w:t>
      </w:r>
    </w:p>
    <w:p>
      <w:pPr>
        <w:pStyle w:val="44"/>
        <w:jc w:val="center"/>
        <w:rPr>
          <w:rFonts w:ascii="Times New Roman" w:hAnsi="Times New Roman" w:cs="Times New Roman"/>
          <w:sz w:val="24"/>
          <w:szCs w:val="24"/>
        </w:rPr>
      </w:pPr>
    </w:p>
    <w:p>
      <w:pPr>
        <w:pStyle w:val="44"/>
        <w:rPr>
          <w:rFonts w:ascii="Times New Roman" w:hAnsi="Times New Roman" w:cs="Times New Roman"/>
          <w:sz w:val="24"/>
          <w:szCs w:val="24"/>
        </w:rPr>
      </w:pPr>
    </w:p>
    <w:p>
      <w:pPr>
        <w:pStyle w:val="44"/>
        <w:jc w:val="left"/>
        <w:rPr>
          <w:rFonts w:ascii="Times New Roman" w:hAnsi="Times New Roman" w:cs="Times New Roman"/>
          <w:sz w:val="24"/>
          <w:szCs w:val="24"/>
        </w:rPr>
      </w:pPr>
      <w:r>
        <w:rPr>
          <w:rFonts w:ascii="Times New Roman" w:hAnsi="Times New Roman" w:cs="Times New Roman"/>
          <w:sz w:val="24"/>
          <w:szCs w:val="24"/>
        </w:rPr>
        <w:t xml:space="preserve">г. Москва </w:t>
      </w:r>
      <w:r>
        <w:rPr>
          <w:rFonts w:ascii="Times New Roman" w:hAnsi="Times New Roman" w:cs="Times New Roman"/>
          <w:sz w:val="24"/>
          <w:szCs w:val="24"/>
          <w:lang w:val="ru-RU"/>
        </w:rPr>
        <w:t xml:space="preserve">                                                                                                                                </w:t>
      </w:r>
      <w:r>
        <w:rPr>
          <w:rFonts w:ascii="Times New Roman" w:hAnsi="Times New Roman" w:cs="Times New Roman"/>
          <w:sz w:val="24"/>
          <w:szCs w:val="24"/>
        </w:rPr>
        <w:t>2</w:t>
      </w:r>
      <w:r>
        <w:rPr>
          <w:rFonts w:ascii="Times New Roman" w:hAnsi="Times New Roman" w:cs="Times New Roman"/>
          <w:sz w:val="24"/>
          <w:szCs w:val="24"/>
          <w:lang w:val="ru-RU"/>
        </w:rPr>
        <w:t>7</w:t>
      </w:r>
      <w:r>
        <w:rPr>
          <w:rFonts w:ascii="Times New Roman" w:hAnsi="Times New Roman" w:cs="Times New Roman"/>
          <w:sz w:val="24"/>
          <w:szCs w:val="24"/>
        </w:rPr>
        <w:t> декабря 2024 г.</w:t>
      </w:r>
      <w:r>
        <w:rPr>
          <w:rFonts w:ascii="Times New Roman" w:hAnsi="Times New Roman" w:cs="Times New Roman"/>
          <w:sz w:val="24"/>
          <w:szCs w:val="24"/>
        </w:rPr>
        <w:br w:type="textWrapping"/>
      </w:r>
    </w:p>
    <w:p>
      <w:pPr>
        <w:pStyle w:val="44"/>
        <w:rPr>
          <w:rFonts w:ascii="Times New Roman" w:hAnsi="Times New Roman" w:cs="Times New Roman"/>
          <w:sz w:val="24"/>
          <w:szCs w:val="24"/>
        </w:rPr>
      </w:pPr>
      <w:r>
        <w:rPr>
          <w:rFonts w:ascii="Times New Roman" w:hAnsi="Times New Roman" w:cs="Times New Roman"/>
          <w:b/>
          <w:bCs/>
          <w:sz w:val="24"/>
          <w:szCs w:val="24"/>
        </w:rPr>
        <w:t>ПРИКАЗЫВАЮ:</w:t>
      </w:r>
    </w:p>
    <w:p>
      <w:pPr>
        <w:pStyle w:val="44"/>
        <w:rPr>
          <w:rFonts w:ascii="Times New Roman" w:hAnsi="Times New Roman" w:cs="Times New Roman"/>
          <w:sz w:val="24"/>
          <w:szCs w:val="24"/>
        </w:rPr>
      </w:pPr>
      <w:r>
        <w:rPr>
          <w:rFonts w:ascii="Times New Roman" w:hAnsi="Times New Roman" w:cs="Times New Roman"/>
          <w:sz w:val="24"/>
          <w:szCs w:val="24"/>
        </w:rPr>
        <w:t xml:space="preserve">1. Утвердить новую редакцию Учетной политики </w:t>
      </w:r>
      <w:r>
        <w:rPr>
          <w:rFonts w:ascii="Times New Roman" w:hAnsi="Times New Roman" w:cs="Times New Roman"/>
          <w:sz w:val="24"/>
          <w:szCs w:val="24"/>
          <w:lang w:val="ru-RU"/>
        </w:rPr>
        <w:t>ООО "Ppt.ru"</w:t>
      </w:r>
      <w:r>
        <w:rPr>
          <w:rFonts w:ascii="Times New Roman" w:hAnsi="Times New Roman" w:cs="Times New Roman"/>
          <w:sz w:val="24"/>
          <w:szCs w:val="24"/>
        </w:rPr>
        <w:t xml:space="preserve"> для целей бухгалтерского учета согласно Приложению </w:t>
      </w:r>
      <w:r>
        <w:rPr>
          <w:rFonts w:ascii="Times New Roman" w:hAnsi="Times New Roman" w:cs="Times New Roman"/>
          <w:sz w:val="24"/>
          <w:szCs w:val="24"/>
          <w:lang w:val="ru-RU"/>
        </w:rPr>
        <w:t>№</w:t>
      </w:r>
      <w:r>
        <w:rPr>
          <w:rFonts w:ascii="Times New Roman" w:hAnsi="Times New Roman" w:cs="Times New Roman"/>
          <w:sz w:val="24"/>
          <w:szCs w:val="24"/>
        </w:rPr>
        <w:t xml:space="preserve"> 1 к настоящему Приказу.</w:t>
      </w:r>
    </w:p>
    <w:p>
      <w:pPr>
        <w:pStyle w:val="44"/>
        <w:rPr>
          <w:rFonts w:ascii="Times New Roman" w:hAnsi="Times New Roman" w:cs="Times New Roman"/>
          <w:sz w:val="24"/>
          <w:szCs w:val="24"/>
        </w:rPr>
      </w:pPr>
      <w:r>
        <w:rPr>
          <w:rFonts w:ascii="Times New Roman" w:hAnsi="Times New Roman" w:cs="Times New Roman"/>
          <w:sz w:val="24"/>
          <w:szCs w:val="24"/>
        </w:rPr>
        <w:t xml:space="preserve">2. Утвердить новую редакцию Учетной политики </w:t>
      </w:r>
      <w:r>
        <w:rPr>
          <w:rFonts w:ascii="Times New Roman" w:hAnsi="Times New Roman" w:cs="Times New Roman"/>
          <w:sz w:val="24"/>
          <w:szCs w:val="24"/>
          <w:lang w:val="ru-RU"/>
        </w:rPr>
        <w:t>ООО "Ppt.ru"</w:t>
      </w:r>
      <w:r>
        <w:rPr>
          <w:rFonts w:ascii="Times New Roman" w:hAnsi="Times New Roman" w:cs="Times New Roman"/>
          <w:sz w:val="24"/>
          <w:szCs w:val="24"/>
        </w:rPr>
        <w:t xml:space="preserve"> для целей налогообложения согласно Приложению </w:t>
      </w:r>
      <w:r>
        <w:rPr>
          <w:rFonts w:ascii="Times New Roman" w:hAnsi="Times New Roman" w:cs="Times New Roman"/>
          <w:sz w:val="24"/>
          <w:szCs w:val="24"/>
          <w:lang w:val="ru-RU"/>
        </w:rPr>
        <w:t>№</w:t>
      </w:r>
      <w:r>
        <w:rPr>
          <w:rFonts w:ascii="Times New Roman" w:hAnsi="Times New Roman" w:cs="Times New Roman"/>
          <w:sz w:val="24"/>
          <w:szCs w:val="24"/>
        </w:rPr>
        <w:t xml:space="preserve"> 2 к настоящему Приказу.</w:t>
      </w:r>
    </w:p>
    <w:p>
      <w:pPr>
        <w:pStyle w:val="44"/>
        <w:rPr>
          <w:rFonts w:ascii="Times New Roman" w:hAnsi="Times New Roman" w:cs="Times New Roman"/>
          <w:sz w:val="24"/>
          <w:szCs w:val="24"/>
        </w:rPr>
      </w:pPr>
      <w:r>
        <w:rPr>
          <w:rFonts w:ascii="Times New Roman" w:hAnsi="Times New Roman" w:cs="Times New Roman"/>
          <w:sz w:val="24"/>
          <w:szCs w:val="24"/>
        </w:rPr>
        <w:t>3. Установить, что данные редакции учетной политики применяются с 1 января 2025 г.</w:t>
      </w:r>
    </w:p>
    <w:p>
      <w:pPr>
        <w:pStyle w:val="44"/>
        <w:rPr>
          <w:rFonts w:ascii="Times New Roman" w:hAnsi="Times New Roman" w:cs="Times New Roman"/>
          <w:sz w:val="24"/>
          <w:szCs w:val="24"/>
          <w:lang w:val="ru-RU"/>
        </w:rPr>
      </w:pPr>
      <w:r>
        <w:rPr>
          <w:rFonts w:ascii="Times New Roman" w:hAnsi="Times New Roman" w:cs="Times New Roman"/>
          <w:sz w:val="24"/>
          <w:szCs w:val="24"/>
        </w:rPr>
        <w:t xml:space="preserve">4. Возложить контроль за исполнением настоящего Приказа на главного бухгалтера </w:t>
      </w:r>
      <w:r>
        <w:rPr>
          <w:rFonts w:ascii="Times New Roman" w:hAnsi="Times New Roman" w:cs="Times New Roman"/>
          <w:sz w:val="24"/>
          <w:szCs w:val="24"/>
          <w:lang w:val="ru-RU"/>
        </w:rPr>
        <w:t>ООО "Ppt.ru"</w:t>
      </w:r>
      <w:r>
        <w:rPr>
          <w:rFonts w:ascii="Times New Roman" w:hAnsi="Times New Roman" w:cs="Times New Roman"/>
          <w:sz w:val="24"/>
          <w:szCs w:val="24"/>
        </w:rPr>
        <w:t xml:space="preserve"> </w:t>
      </w:r>
      <w:r>
        <w:rPr>
          <w:rFonts w:ascii="Times New Roman" w:hAnsi="Times New Roman" w:cs="Times New Roman"/>
          <w:sz w:val="24"/>
          <w:szCs w:val="24"/>
          <w:lang w:val="ru-RU"/>
        </w:rPr>
        <w:t>Сергееву С.С.</w:t>
      </w:r>
    </w:p>
    <w:p>
      <w:pPr>
        <w:pStyle w:val="44"/>
        <w:rPr>
          <w:rFonts w:ascii="Times New Roman" w:hAnsi="Times New Roman" w:cs="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3450"/>
        <w:gridCol w:w="370"/>
        <w:gridCol w:w="2941"/>
        <w:gridCol w:w="359"/>
        <w:gridCol w:w="3652"/>
      </w:tblGrid>
      <w:tr>
        <w:tblPrEx>
          <w:tblLayout w:type="fixed"/>
          <w:tblCellMar>
            <w:top w:w="0" w:type="dxa"/>
            <w:left w:w="108" w:type="dxa"/>
            <w:bottom w:w="0" w:type="dxa"/>
            <w:right w:w="108" w:type="dxa"/>
          </w:tblCellMar>
        </w:tblPrEx>
        <w:tc>
          <w:tcPr>
            <w:tcW w:w="3450" w:type="dxa"/>
            <w:tcBorders>
              <w:top w:val="nil"/>
              <w:left w:val="nil"/>
              <w:bottom w:val="single" w:color="auto" w:sz="4" w:space="0"/>
              <w:right w:val="nil"/>
            </w:tcBorders>
          </w:tcPr>
          <w:p>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Генеральный</w:t>
            </w:r>
            <w:r>
              <w:rPr>
                <w:rFonts w:ascii="Times New Roman" w:hAnsi="Times New Roman"/>
                <w:sz w:val="24"/>
                <w:szCs w:val="24"/>
                <w:lang w:val="en-US" w:eastAsia="ru-RU"/>
              </w:rPr>
              <w:t xml:space="preserve"> д</w:t>
            </w:r>
            <w:r>
              <w:rPr>
                <w:rFonts w:ascii="Times New Roman" w:hAnsi="Times New Roman"/>
                <w:sz w:val="24"/>
                <w:szCs w:val="24"/>
                <w:lang w:eastAsia="ru-RU"/>
              </w:rPr>
              <w:t>иректор ООО "Ppt.ru"</w:t>
            </w:r>
          </w:p>
        </w:tc>
        <w:tc>
          <w:tcPr>
            <w:tcW w:w="370" w:type="dxa"/>
            <w:tcBorders>
              <w:top w:val="nil"/>
              <w:left w:val="nil"/>
              <w:bottom w:val="nil"/>
              <w:right w:val="nil"/>
            </w:tcBorders>
            <w:vAlign w:val="bottom"/>
          </w:tcPr>
          <w:p>
            <w:pPr>
              <w:spacing w:after="0" w:line="240" w:lineRule="auto"/>
              <w:jc w:val="center"/>
              <w:rPr>
                <w:rFonts w:ascii="Times New Roman" w:hAnsi="Times New Roman"/>
                <w:sz w:val="24"/>
                <w:szCs w:val="24"/>
                <w:lang w:eastAsia="ru-RU"/>
              </w:rPr>
            </w:pPr>
          </w:p>
        </w:tc>
        <w:tc>
          <w:tcPr>
            <w:tcW w:w="2941" w:type="dxa"/>
            <w:tcBorders>
              <w:top w:val="nil"/>
              <w:left w:val="nil"/>
              <w:bottom w:val="single" w:color="auto" w:sz="4" w:space="0"/>
              <w:right w:val="nil"/>
            </w:tcBorders>
            <w:vAlign w:val="bottom"/>
          </w:tcPr>
          <w:p>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Петров</w:t>
            </w:r>
          </w:p>
        </w:tc>
        <w:tc>
          <w:tcPr>
            <w:tcW w:w="359" w:type="dxa"/>
            <w:tcBorders>
              <w:top w:val="nil"/>
              <w:left w:val="nil"/>
              <w:bottom w:val="nil"/>
              <w:right w:val="nil"/>
            </w:tcBorders>
            <w:vAlign w:val="bottom"/>
          </w:tcPr>
          <w:p>
            <w:pPr>
              <w:spacing w:after="0" w:line="240" w:lineRule="auto"/>
              <w:jc w:val="center"/>
              <w:rPr>
                <w:rFonts w:ascii="Times New Roman" w:hAnsi="Times New Roman"/>
                <w:sz w:val="24"/>
                <w:szCs w:val="24"/>
                <w:lang w:eastAsia="ru-RU"/>
              </w:rPr>
            </w:pPr>
          </w:p>
        </w:tc>
        <w:tc>
          <w:tcPr>
            <w:tcW w:w="3652" w:type="dxa"/>
            <w:tcBorders>
              <w:top w:val="nil"/>
              <w:left w:val="nil"/>
              <w:bottom w:val="single" w:color="auto" w:sz="4" w:space="0"/>
              <w:right w:val="nil"/>
            </w:tcBorders>
            <w:vAlign w:val="bottom"/>
          </w:tcPr>
          <w:p>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Петров</w:t>
            </w:r>
            <w:r>
              <w:rPr>
                <w:rFonts w:ascii="Times New Roman" w:hAnsi="Times New Roman"/>
                <w:sz w:val="24"/>
                <w:szCs w:val="24"/>
                <w:lang w:val="en-US" w:eastAsia="ru-RU"/>
              </w:rPr>
              <w:t xml:space="preserve"> П.П.</w:t>
            </w:r>
          </w:p>
        </w:tc>
      </w:tr>
      <w:tr>
        <w:tblPrEx>
          <w:tblLayout w:type="fixed"/>
          <w:tblCellMar>
            <w:top w:w="0" w:type="dxa"/>
            <w:left w:w="108" w:type="dxa"/>
            <w:bottom w:w="0" w:type="dxa"/>
            <w:right w:w="108" w:type="dxa"/>
          </w:tblCellMar>
        </w:tblPrEx>
        <w:tc>
          <w:tcPr>
            <w:tcW w:w="3450" w:type="dxa"/>
            <w:tcBorders>
              <w:top w:val="single" w:color="auto" w:sz="4" w:space="0"/>
              <w:left w:val="nil"/>
              <w:bottom w:val="nil"/>
              <w:right w:val="nil"/>
            </w:tcBorders>
          </w:tcPr>
          <w:p>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 руководителя)</w:t>
            </w:r>
          </w:p>
        </w:tc>
        <w:tc>
          <w:tcPr>
            <w:tcW w:w="370" w:type="dxa"/>
            <w:tcBorders>
              <w:top w:val="nil"/>
              <w:left w:val="nil"/>
              <w:bottom w:val="nil"/>
              <w:right w:val="nil"/>
            </w:tcBorders>
          </w:tcPr>
          <w:p>
            <w:pPr>
              <w:spacing w:after="0" w:line="240" w:lineRule="auto"/>
              <w:jc w:val="center"/>
              <w:rPr>
                <w:rFonts w:ascii="Times New Roman" w:hAnsi="Times New Roman"/>
                <w:sz w:val="24"/>
                <w:szCs w:val="24"/>
                <w:vertAlign w:val="superscript"/>
                <w:lang w:eastAsia="ru-RU"/>
              </w:rPr>
            </w:pPr>
          </w:p>
        </w:tc>
        <w:tc>
          <w:tcPr>
            <w:tcW w:w="2941" w:type="dxa"/>
            <w:tcBorders>
              <w:left w:val="nil"/>
              <w:bottom w:val="nil"/>
              <w:right w:val="nil"/>
            </w:tcBorders>
          </w:tcPr>
          <w:p>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59" w:type="dxa"/>
            <w:tcBorders>
              <w:top w:val="nil"/>
              <w:left w:val="nil"/>
              <w:bottom w:val="nil"/>
              <w:right w:val="nil"/>
            </w:tcBorders>
          </w:tcPr>
          <w:p>
            <w:pPr>
              <w:spacing w:after="0" w:line="240" w:lineRule="auto"/>
              <w:jc w:val="center"/>
              <w:rPr>
                <w:rFonts w:ascii="Times New Roman" w:hAnsi="Times New Roman"/>
                <w:sz w:val="24"/>
                <w:szCs w:val="24"/>
                <w:vertAlign w:val="superscript"/>
                <w:lang w:eastAsia="ru-RU"/>
              </w:rPr>
            </w:pPr>
          </w:p>
        </w:tc>
        <w:tc>
          <w:tcPr>
            <w:tcW w:w="3652" w:type="dxa"/>
            <w:tcBorders>
              <w:left w:val="nil"/>
              <w:bottom w:val="nil"/>
              <w:right w:val="nil"/>
            </w:tcBorders>
          </w:tcPr>
          <w:p>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(Ф.И.О.)</w:t>
            </w: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lang w:val="ru-RU"/>
        </w:rPr>
        <w:t>№</w:t>
      </w:r>
      <w:r>
        <w:rPr>
          <w:rFonts w:ascii="Times New Roman" w:hAnsi="Times New Roman" w:cs="Times New Roman"/>
          <w:sz w:val="24"/>
          <w:szCs w:val="24"/>
        </w:rPr>
        <w:t xml:space="preserve"> 1</w:t>
      </w:r>
    </w:p>
    <w:p>
      <w:pPr>
        <w:pStyle w:val="44"/>
        <w:jc w:val="right"/>
        <w:rPr>
          <w:rFonts w:ascii="Times New Roman" w:hAnsi="Times New Roman" w:cs="Times New Roman"/>
          <w:sz w:val="24"/>
          <w:szCs w:val="24"/>
          <w:lang w:val="ru-RU"/>
        </w:rPr>
      </w:pPr>
      <w:r>
        <w:rPr>
          <w:rFonts w:ascii="Times New Roman" w:hAnsi="Times New Roman" w:cs="Times New Roman"/>
          <w:sz w:val="24"/>
          <w:szCs w:val="24"/>
        </w:rPr>
        <w:t>к Приказу от 2</w:t>
      </w:r>
      <w:r>
        <w:rPr>
          <w:rFonts w:ascii="Times New Roman" w:hAnsi="Times New Roman" w:cs="Times New Roman"/>
          <w:sz w:val="24"/>
          <w:szCs w:val="24"/>
          <w:lang w:val="ru-RU"/>
        </w:rPr>
        <w:t>7</w:t>
      </w:r>
      <w:r>
        <w:rPr>
          <w:rFonts w:ascii="Times New Roman" w:hAnsi="Times New Roman" w:cs="Times New Roman"/>
          <w:sz w:val="24"/>
          <w:szCs w:val="24"/>
        </w:rPr>
        <w:t xml:space="preserve">.12.2024 </w:t>
      </w:r>
      <w:r>
        <w:rPr>
          <w:rFonts w:ascii="Times New Roman" w:hAnsi="Times New Roman" w:cs="Times New Roman"/>
          <w:sz w:val="24"/>
          <w:szCs w:val="24"/>
          <w:lang w:val="ru-RU"/>
        </w:rPr>
        <w:t>№</w:t>
      </w:r>
      <w:r>
        <w:rPr>
          <w:rFonts w:ascii="Times New Roman" w:hAnsi="Times New Roman" w:cs="Times New Roman"/>
          <w:sz w:val="24"/>
          <w:szCs w:val="24"/>
        </w:rPr>
        <w:t xml:space="preserve"> 1</w:t>
      </w:r>
      <w:r>
        <w:rPr>
          <w:rFonts w:ascii="Times New Roman" w:hAnsi="Times New Roman" w:cs="Times New Roman"/>
          <w:sz w:val="24"/>
          <w:szCs w:val="24"/>
          <w:lang w:val="ru-RU"/>
        </w:rPr>
        <w:t>95</w:t>
      </w:r>
      <w:bookmarkStart w:id="2" w:name="_GoBack"/>
      <w:bookmarkEnd w:id="2"/>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Учетная политика</w:t>
      </w:r>
    </w:p>
    <w:p>
      <w:pPr>
        <w:pStyle w:val="44"/>
        <w:jc w:val="center"/>
        <w:rPr>
          <w:rFonts w:ascii="Times New Roman" w:hAnsi="Times New Roman" w:cs="Times New Roman"/>
          <w:sz w:val="24"/>
          <w:szCs w:val="24"/>
          <w:lang w:val="ru-RU"/>
        </w:rPr>
      </w:pPr>
      <w:r>
        <w:rPr>
          <w:rFonts w:ascii="Times New Roman" w:hAnsi="Times New Roman" w:cs="Times New Roman"/>
          <w:b/>
          <w:bCs/>
          <w:sz w:val="24"/>
          <w:szCs w:val="24"/>
          <w:lang w:val="ru-RU"/>
        </w:rPr>
        <w:t>ООО "Ppt.ru"</w:t>
      </w:r>
    </w:p>
    <w:p>
      <w:pPr>
        <w:pStyle w:val="44"/>
        <w:jc w:val="center"/>
        <w:rPr>
          <w:rFonts w:ascii="Times New Roman" w:hAnsi="Times New Roman" w:cs="Times New Roman"/>
          <w:sz w:val="24"/>
          <w:szCs w:val="24"/>
        </w:rPr>
      </w:pPr>
      <w:r>
        <w:rPr>
          <w:rFonts w:ascii="Times New Roman" w:hAnsi="Times New Roman" w:cs="Times New Roman"/>
          <w:b/>
          <w:bCs/>
          <w:sz w:val="24"/>
          <w:szCs w:val="24"/>
        </w:rPr>
        <w:t>для целей бухгалтерского учета</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 Учетная политика. Организационные положения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pPr>
        <w:pStyle w:val="44"/>
        <w:rPr>
          <w:rFonts w:ascii="Times New Roman" w:hAnsi="Times New Roman" w:cs="Times New Roman"/>
          <w:sz w:val="24"/>
          <w:szCs w:val="24"/>
        </w:rPr>
      </w:pPr>
      <w:r>
        <w:rPr>
          <w:rFonts w:ascii="Times New Roman" w:hAnsi="Times New Roman" w:cs="Times New Roman"/>
          <w:sz w:val="24"/>
          <w:szCs w:val="24"/>
        </w:rPr>
        <w:t xml:space="preserve">- Федеральный закон от 06.12.2011 </w:t>
      </w:r>
      <w:r>
        <w:rPr>
          <w:rFonts w:ascii="Times New Roman" w:hAnsi="Times New Roman" w:cs="Times New Roman"/>
          <w:sz w:val="24"/>
          <w:szCs w:val="24"/>
          <w:lang w:val="ru-RU"/>
        </w:rPr>
        <w:t>№</w:t>
      </w:r>
      <w:r>
        <w:rPr>
          <w:rFonts w:ascii="Times New Roman" w:hAnsi="Times New Roman" w:cs="Times New Roman"/>
          <w:sz w:val="24"/>
          <w:szCs w:val="24"/>
        </w:rPr>
        <w:t xml:space="preserve"> 402-ФЗ "О бухгалтерском учете" (далее - Закон </w:t>
      </w:r>
      <w:r>
        <w:rPr>
          <w:rFonts w:ascii="Times New Roman" w:hAnsi="Times New Roman" w:cs="Times New Roman"/>
          <w:sz w:val="24"/>
          <w:szCs w:val="24"/>
          <w:lang w:val="ru-RU"/>
        </w:rPr>
        <w:t>№</w:t>
      </w:r>
      <w:r>
        <w:rPr>
          <w:rFonts w:ascii="Times New Roman" w:hAnsi="Times New Roman" w:cs="Times New Roman"/>
          <w:sz w:val="24"/>
          <w:szCs w:val="24"/>
        </w:rPr>
        <w:t xml:space="preserve"> 402-ФЗ, Закон "О бухгалтерском учете");</w:t>
      </w:r>
    </w:p>
    <w:p>
      <w:pPr>
        <w:pStyle w:val="44"/>
        <w:rPr>
          <w:rFonts w:ascii="Times New Roman" w:hAnsi="Times New Roman" w:cs="Times New Roman"/>
          <w:sz w:val="24"/>
          <w:szCs w:val="24"/>
        </w:rPr>
      </w:pPr>
      <w:r>
        <w:rPr>
          <w:rFonts w:ascii="Times New Roman" w:hAnsi="Times New Roman" w:cs="Times New Roman"/>
          <w:sz w:val="24"/>
          <w:szCs w:val="24"/>
        </w:rPr>
        <w:t xml:space="preserve">- Положение по ведению бухгалтерского учета и бухгалтерской отчетности в Российской Федерации, утвержденное Приказом Минфина России от 29.07.1998 </w:t>
      </w:r>
      <w:r>
        <w:rPr>
          <w:rFonts w:ascii="Times New Roman" w:hAnsi="Times New Roman" w:cs="Times New Roman"/>
          <w:sz w:val="24"/>
          <w:szCs w:val="24"/>
          <w:lang w:val="ru-RU"/>
        </w:rPr>
        <w:t>№</w:t>
      </w:r>
      <w:r>
        <w:rPr>
          <w:rFonts w:ascii="Times New Roman" w:hAnsi="Times New Roman" w:cs="Times New Roman"/>
          <w:sz w:val="24"/>
          <w:szCs w:val="24"/>
        </w:rPr>
        <w:t xml:space="preserve"> 34н (далее - Положение </w:t>
      </w:r>
      <w:r>
        <w:rPr>
          <w:rFonts w:ascii="Times New Roman" w:hAnsi="Times New Roman" w:cs="Times New Roman"/>
          <w:sz w:val="24"/>
          <w:szCs w:val="24"/>
          <w:lang w:val="ru-RU"/>
        </w:rPr>
        <w:t>№</w:t>
      </w:r>
      <w:r>
        <w:rPr>
          <w:rFonts w:ascii="Times New Roman" w:hAnsi="Times New Roman" w:cs="Times New Roman"/>
          <w:sz w:val="24"/>
          <w:szCs w:val="24"/>
        </w:rPr>
        <w:t xml:space="preserve"> 34н);</w:t>
      </w:r>
    </w:p>
    <w:p>
      <w:pPr>
        <w:pStyle w:val="44"/>
        <w:rPr>
          <w:rFonts w:ascii="Times New Roman" w:hAnsi="Times New Roman" w:cs="Times New Roman"/>
          <w:sz w:val="24"/>
          <w:szCs w:val="24"/>
        </w:rPr>
      </w:pPr>
      <w:r>
        <w:rPr>
          <w:rFonts w:ascii="Times New Roman" w:hAnsi="Times New Roman" w:cs="Times New Roman"/>
          <w:sz w:val="24"/>
          <w:szCs w:val="24"/>
        </w:rPr>
        <w:t>- Федеральные стандарты бухгалтерского учета, в том числе ПБУ, утвержденные не ранее 01.10.1998.</w:t>
      </w:r>
    </w:p>
    <w:p>
      <w:pPr>
        <w:pStyle w:val="44"/>
        <w:rPr>
          <w:rFonts w:ascii="Times New Roman" w:hAnsi="Times New Roman" w:cs="Times New Roman"/>
          <w:i/>
          <w:iCs/>
          <w:sz w:val="24"/>
          <w:szCs w:val="24"/>
        </w:rPr>
      </w:pPr>
      <w:r>
        <w:rPr>
          <w:rFonts w:ascii="Times New Roman" w:hAnsi="Times New Roman" w:cs="Times New Roman"/>
          <w:i/>
          <w:iCs/>
          <w:sz w:val="24"/>
          <w:szCs w:val="24"/>
        </w:rPr>
        <w:t xml:space="preserve">(Основание: ч. 2 ст. 8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 xml:space="preserve">1.2. Рабочий план счетов разработан с использованием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w:t>
      </w:r>
      <w:r>
        <w:rPr>
          <w:rFonts w:ascii="Times New Roman" w:hAnsi="Times New Roman" w:cs="Times New Roman"/>
          <w:sz w:val="24"/>
          <w:szCs w:val="24"/>
          <w:lang w:val="ru-RU"/>
        </w:rPr>
        <w:t>№</w:t>
      </w:r>
      <w:r>
        <w:rPr>
          <w:rFonts w:ascii="Times New Roman" w:hAnsi="Times New Roman" w:cs="Times New Roman"/>
          <w:sz w:val="24"/>
          <w:szCs w:val="24"/>
        </w:rPr>
        <w:t xml:space="preserve"> 94н.</w:t>
      </w:r>
    </w:p>
    <w:p>
      <w:pPr>
        <w:pStyle w:val="44"/>
        <w:rPr>
          <w:rFonts w:ascii="Times New Roman" w:hAnsi="Times New Roman" w:cs="Times New Roman"/>
          <w:sz w:val="24"/>
          <w:szCs w:val="24"/>
        </w:rPr>
      </w:pPr>
      <w:r>
        <w:rPr>
          <w:rFonts w:ascii="Times New Roman" w:hAnsi="Times New Roman" w:cs="Times New Roman"/>
          <w:sz w:val="24"/>
          <w:szCs w:val="24"/>
        </w:rPr>
        <w:t>1.3. Ведение бухгалтерского учета в организации возложено на главного бухгалтера.</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3 ст. 7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1.4. Метод и форма ведения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1.4.1. Форма ведения бухгалтерского учета - автоматизированная с применением специализированной бухгалтерской программы X.</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Укажите название используемой вами бухгалтерской программы.</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1.4.2. Бухгалтерский учет ведется методом двойной записи.</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3 ст. 10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 п. 9 Положения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34н)</w:t>
      </w:r>
    </w:p>
    <w:p>
      <w:pPr>
        <w:pStyle w:val="44"/>
        <w:rPr>
          <w:rFonts w:ascii="Times New Roman" w:hAnsi="Times New Roman" w:cs="Times New Roman"/>
          <w:sz w:val="24"/>
          <w:szCs w:val="24"/>
        </w:rPr>
      </w:pPr>
      <w:r>
        <w:rPr>
          <w:rFonts w:ascii="Times New Roman" w:hAnsi="Times New Roman" w:cs="Times New Roman"/>
          <w:sz w:val="24"/>
          <w:szCs w:val="24"/>
        </w:rPr>
        <w:t>1.4.3. Рабочий план счетов организации приведен в п. 4 Приложения к Учетной политике для целей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1.5. Первичные учетные документы.</w:t>
      </w:r>
    </w:p>
    <w:p>
      <w:pPr>
        <w:pStyle w:val="44"/>
        <w:rPr>
          <w:rFonts w:ascii="Times New Roman" w:hAnsi="Times New Roman" w:cs="Times New Roman"/>
          <w:sz w:val="24"/>
          <w:szCs w:val="24"/>
        </w:rPr>
      </w:pPr>
      <w:r>
        <w:rPr>
          <w:rFonts w:ascii="Times New Roman" w:hAnsi="Times New Roman" w:cs="Times New Roman"/>
          <w:sz w:val="24"/>
          <w:szCs w:val="24"/>
        </w:rPr>
        <w:t>1.5.1. Для оформления фактов хозяйственной жизни используются унифицированные формы первичных учетных документов.</w:t>
      </w:r>
    </w:p>
    <w:p>
      <w:pPr>
        <w:pStyle w:val="44"/>
        <w:rPr>
          <w:rFonts w:ascii="Times New Roman" w:hAnsi="Times New Roman" w:cs="Times New Roman"/>
          <w:sz w:val="24"/>
          <w:szCs w:val="24"/>
        </w:rPr>
      </w:pPr>
      <w:r>
        <w:rPr>
          <w:rFonts w:ascii="Times New Roman" w:hAnsi="Times New Roman" w:cs="Times New Roman"/>
          <w:sz w:val="24"/>
          <w:szCs w:val="24"/>
        </w:rPr>
        <w:t>При отсутствии унифицированных форм применяются формы документов, разработанные организацией и содержащие обязательные реквизиты, указанные в ч. 2 ст. 9 Федерального закона "О бухгалтерском учете". Формы первичных учетных документов, применяемые организацией, приведены в п. 1 Приложения к Учетной политике для целей бухгалтерского учета.</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4 ст. 9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1.5.2. Первичные учетные документы составляются на бумажном носителе.</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5 ст. 9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1.5.3. Исправления в первичные учетные документы вносятся путем зачеркивания ошибочного текста или суммы (так, чтобы оставались видны ошибочные данные) и указания исправленного текста или суммы над зачеркнутым. Делается надпись "Исправлено", указывается дата исправления, проставляются подписи лиц, составивших этот документ, с должностью и Ф.И.О.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18, 19, 21 ФСБУ 27/2021)</w:t>
      </w:r>
    </w:p>
    <w:p>
      <w:pPr>
        <w:pStyle w:val="44"/>
        <w:rPr>
          <w:rFonts w:ascii="Times New Roman" w:hAnsi="Times New Roman" w:cs="Times New Roman"/>
          <w:sz w:val="24"/>
          <w:szCs w:val="24"/>
        </w:rPr>
      </w:pPr>
      <w:r>
        <w:rPr>
          <w:rFonts w:ascii="Times New Roman" w:hAnsi="Times New Roman" w:cs="Times New Roman"/>
          <w:sz w:val="24"/>
          <w:szCs w:val="24"/>
        </w:rPr>
        <w:t>1.5.4. Движение первичных учетных документов (их создание или получение от контрагентов, принятие к учету, обработка, передача в архив) регулируется графиком документооборота, содержащимся в п. 3 Приложения к Учетной политике для целей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1.6. Регистры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1.6.1. Бухгалтерский учет ведется в регистрах, предусмотренных используемой специализированной бухгалтерской программой. Формы регистров бухгалтерского учета, применяемые организацией, приведены в п. 2 Приложения к Учетной политике для целей бухгалтерского учета.</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5 ст. 10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1.6.2. Регистры бухгалтерского учета составляются в виде электронных документов, подписанных электронной подписью. Если законодательством РФ или договором предусмотрено представление регистра бухгалтерского учета другому лицу или в государственный орган на бумажном носителе, его копия на бумажном носителе изготавливается по требованию.</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6, 7 ст. 10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1.6.3. Исправления в бухгалтерские регистры вносятся следующими способами:</w:t>
      </w:r>
    </w:p>
    <w:p>
      <w:pPr>
        <w:pStyle w:val="44"/>
        <w:rPr>
          <w:rFonts w:ascii="Times New Roman" w:hAnsi="Times New Roman" w:cs="Times New Roman"/>
          <w:sz w:val="24"/>
          <w:szCs w:val="24"/>
        </w:rPr>
      </w:pPr>
      <w:r>
        <w:rPr>
          <w:rFonts w:ascii="Times New Roman" w:hAnsi="Times New Roman" w:cs="Times New Roman"/>
          <w:sz w:val="24"/>
          <w:szCs w:val="24"/>
        </w:rPr>
        <w:t>1) путем составления нового регистра с признаком исправления (указанием на то, что он составлен взамен первоначального). Ставится дата исправления и регистр подписывается электронными подписями лиц, ответственных за ведение регистра, с расшифровкой (должность и Ф.И.О.);</w:t>
      </w:r>
    </w:p>
    <w:p>
      <w:pPr>
        <w:pStyle w:val="44"/>
        <w:rPr>
          <w:rFonts w:ascii="Times New Roman" w:hAnsi="Times New Roman" w:cs="Times New Roman"/>
          <w:sz w:val="24"/>
          <w:szCs w:val="24"/>
        </w:rPr>
      </w:pPr>
      <w:r>
        <w:rPr>
          <w:rFonts w:ascii="Times New Roman" w:hAnsi="Times New Roman" w:cs="Times New Roman"/>
          <w:sz w:val="24"/>
          <w:szCs w:val="24"/>
        </w:rPr>
        <w:t>2) путем внесения сторнировочных или дополнительных записей по счетам бухгалтерского учета в периоде внесения исправления. Исправительная запись датируется и заверяется электронными подписями лиц, ответственных за ведение регистра, с расшифровкой (должность и Ф.И.О.).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18, 20, 22 ФСБУ 27/2021)</w:t>
      </w:r>
    </w:p>
    <w:p>
      <w:pPr>
        <w:pStyle w:val="44"/>
        <w:rPr>
          <w:rFonts w:ascii="Times New Roman" w:hAnsi="Times New Roman" w:cs="Times New Roman"/>
          <w:sz w:val="24"/>
          <w:szCs w:val="24"/>
        </w:rPr>
      </w:pPr>
      <w:r>
        <w:rPr>
          <w:rFonts w:ascii="Times New Roman" w:hAnsi="Times New Roman" w:cs="Times New Roman"/>
          <w:sz w:val="24"/>
          <w:szCs w:val="24"/>
        </w:rPr>
        <w:t xml:space="preserve">1.6.4. Порядок хранения и доступа к первичным учетным документам, отраженным в бухгалтерском учете, и регистрам бухгалтерского учета установлен Приказом от 25.12.2024 </w:t>
      </w:r>
      <w:r>
        <w:rPr>
          <w:rFonts w:ascii="Times New Roman" w:hAnsi="Times New Roman" w:cs="Times New Roman"/>
          <w:sz w:val="24"/>
          <w:szCs w:val="24"/>
          <w:lang w:val="ru-RU"/>
        </w:rPr>
        <w:t>№</w:t>
      </w:r>
      <w:r>
        <w:rPr>
          <w:rFonts w:ascii="Times New Roman" w:hAnsi="Times New Roman" w:cs="Times New Roman"/>
          <w:sz w:val="24"/>
          <w:szCs w:val="24"/>
        </w:rPr>
        <w:t xml:space="preserve"> 122.</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23</w:t>
      </w:r>
      <w:r>
        <w:rPr>
          <w:rFonts w:ascii="Times New Roman" w:hAnsi="Times New Roman" w:cs="Times New Roman"/>
          <w:sz w:val="24"/>
          <w:szCs w:val="24"/>
        </w:rPr>
        <w:t xml:space="preserve">, </w:t>
      </w:r>
      <w:r>
        <w:rPr>
          <w:rFonts w:ascii="Times New Roman" w:hAnsi="Times New Roman" w:cs="Times New Roman"/>
          <w:i/>
          <w:iCs/>
          <w:sz w:val="24"/>
          <w:szCs w:val="24"/>
        </w:rPr>
        <w:t>26 ФСБУ 27/2021, п. 4 ПБУ 1/2008)</w:t>
      </w:r>
    </w:p>
    <w:p>
      <w:pPr>
        <w:pStyle w:val="44"/>
        <w:rPr>
          <w:rFonts w:ascii="Times New Roman" w:hAnsi="Times New Roman" w:cs="Times New Roman"/>
          <w:sz w:val="24"/>
          <w:szCs w:val="24"/>
        </w:rPr>
      </w:pPr>
      <w:r>
        <w:rPr>
          <w:rFonts w:ascii="Times New Roman" w:hAnsi="Times New Roman" w:cs="Times New Roman"/>
          <w:sz w:val="24"/>
          <w:szCs w:val="24"/>
        </w:rPr>
        <w:t xml:space="preserve">1.7. Организация не является эмитентом публично размещаемых ценных бумаг, на основании чего не применяет Положение по бухгалтерскому учету "Информация по сегментам" (ПБУ 12/2010), утвержденное Приказом Минфина России от 08.11.2010 </w:t>
      </w:r>
      <w:r>
        <w:rPr>
          <w:rFonts w:ascii="Times New Roman" w:hAnsi="Times New Roman" w:cs="Times New Roman"/>
          <w:sz w:val="24"/>
          <w:szCs w:val="24"/>
          <w:lang w:val="ru-RU"/>
        </w:rPr>
        <w:t>№</w:t>
      </w:r>
      <w:r>
        <w:rPr>
          <w:rFonts w:ascii="Times New Roman" w:hAnsi="Times New Roman" w:cs="Times New Roman"/>
          <w:sz w:val="24"/>
          <w:szCs w:val="24"/>
        </w:rPr>
        <w:t xml:space="preserve"> 143н.</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 ПБУ 12/2010)</w:t>
      </w:r>
    </w:p>
    <w:p>
      <w:pPr>
        <w:pStyle w:val="44"/>
        <w:rPr>
          <w:rFonts w:ascii="Times New Roman" w:hAnsi="Times New Roman" w:cs="Times New Roman"/>
          <w:sz w:val="24"/>
          <w:szCs w:val="24"/>
        </w:rPr>
      </w:pPr>
      <w:r>
        <w:rPr>
          <w:rFonts w:ascii="Times New Roman" w:hAnsi="Times New Roman" w:cs="Times New Roman"/>
          <w:sz w:val="24"/>
          <w:szCs w:val="24"/>
        </w:rPr>
        <w:t>1.8. Внутренний контроль.</w:t>
      </w:r>
    </w:p>
    <w:p>
      <w:pPr>
        <w:pStyle w:val="44"/>
        <w:rPr>
          <w:rFonts w:ascii="Times New Roman" w:hAnsi="Times New Roman" w:cs="Times New Roman"/>
          <w:sz w:val="24"/>
          <w:szCs w:val="24"/>
        </w:rPr>
      </w:pPr>
      <w:r>
        <w:rPr>
          <w:rFonts w:ascii="Times New Roman" w:hAnsi="Times New Roman" w:cs="Times New Roman"/>
          <w:sz w:val="24"/>
          <w:szCs w:val="24"/>
        </w:rPr>
        <w:t xml:space="preserve">1.8.1.Внутренний контроль совершаемых в организации фактов хозяйственной жизни регламентируется Положением о внутреннем контроле, утвержденным директором </w:t>
      </w:r>
      <w:r>
        <w:rPr>
          <w:rFonts w:ascii="Times New Roman" w:hAnsi="Times New Roman" w:cs="Times New Roman"/>
          <w:sz w:val="24"/>
          <w:szCs w:val="24"/>
          <w:lang w:val="ru-RU"/>
        </w:rPr>
        <w:t>ООО "Ppt.ru"</w:t>
      </w:r>
      <w:r>
        <w:rPr>
          <w:rFonts w:ascii="Times New Roman" w:hAnsi="Times New Roman" w:cs="Times New Roman"/>
          <w:sz w:val="24"/>
          <w:szCs w:val="24"/>
        </w:rPr>
        <w:t xml:space="preserve"> 28.12.2024.</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1 ст. 19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 Информация Минфина России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ПЗ-11/2013)</w:t>
      </w:r>
    </w:p>
    <w:p>
      <w:pPr>
        <w:pStyle w:val="44"/>
        <w:rPr>
          <w:rFonts w:ascii="Times New Roman" w:hAnsi="Times New Roman" w:cs="Times New Roman"/>
          <w:sz w:val="24"/>
          <w:szCs w:val="24"/>
        </w:rPr>
      </w:pPr>
      <w:r>
        <w:rPr>
          <w:rFonts w:ascii="Times New Roman" w:hAnsi="Times New Roman" w:cs="Times New Roman"/>
          <w:sz w:val="24"/>
          <w:szCs w:val="24"/>
        </w:rPr>
        <w:t>1.8.2. Внутренний контроль ведения бухгалтерского учета и составления бухгалтерской (финансовой) отчетности осуществляется отделом внутреннего аудита.</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2 ст. 19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w:t>
      </w:r>
    </w:p>
    <w:p>
      <w:pPr>
        <w:pStyle w:val="44"/>
        <w:rPr>
          <w:rFonts w:ascii="Times New Roman" w:hAnsi="Times New Roman" w:cs="Times New Roman"/>
          <w:sz w:val="24"/>
          <w:szCs w:val="24"/>
        </w:rPr>
      </w:pPr>
      <w:r>
        <w:rPr>
          <w:rFonts w:ascii="Times New Roman" w:hAnsi="Times New Roman" w:cs="Times New Roman"/>
          <w:sz w:val="24"/>
          <w:szCs w:val="24"/>
        </w:rPr>
        <w:t>1.8.3. Организация досрочно применяет ФСБУ 28/2023 "Инвентаризация".</w:t>
      </w:r>
    </w:p>
    <w:p>
      <w:pPr>
        <w:pStyle w:val="44"/>
        <w:rPr>
          <w:rFonts w:ascii="Times New Roman" w:hAnsi="Times New Roman" w:cs="Times New Roman"/>
          <w:sz w:val="24"/>
          <w:szCs w:val="24"/>
        </w:rPr>
      </w:pPr>
      <w:r>
        <w:rPr>
          <w:rFonts w:ascii="Times New Roman" w:hAnsi="Times New Roman" w:cs="Times New Roman"/>
          <w:sz w:val="24"/>
          <w:szCs w:val="24"/>
        </w:rPr>
        <w:t xml:space="preserve">Порядок, сроки и случаи проведения инвентаризации активов и обязательств, а также перечень объектов, подлежащих инвентаризации, определены в Положении об инвентаризации, утвержденном директором </w:t>
      </w:r>
      <w:r>
        <w:rPr>
          <w:rFonts w:ascii="Times New Roman" w:hAnsi="Times New Roman" w:cs="Times New Roman"/>
          <w:sz w:val="24"/>
          <w:szCs w:val="24"/>
          <w:lang w:val="ru-RU"/>
        </w:rPr>
        <w:t>ООО "Ppt.ru"</w:t>
      </w:r>
      <w:r>
        <w:rPr>
          <w:rFonts w:ascii="Times New Roman" w:hAnsi="Times New Roman" w:cs="Times New Roman"/>
          <w:sz w:val="24"/>
          <w:szCs w:val="24"/>
        </w:rPr>
        <w:t xml:space="preserve"> 28.12.2024.</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ч. 3 ст. 11 Закона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 п. 2 Приказа Минфина России от 13.01.2023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4н)</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2. Учетная политика. Основные средства и капитальные</w:t>
      </w:r>
    </w:p>
    <w:p>
      <w:pPr>
        <w:pStyle w:val="44"/>
        <w:jc w:val="center"/>
        <w:rPr>
          <w:rFonts w:ascii="Times New Roman" w:hAnsi="Times New Roman" w:cs="Times New Roman"/>
          <w:sz w:val="24"/>
          <w:szCs w:val="24"/>
        </w:rPr>
      </w:pPr>
      <w:r>
        <w:rPr>
          <w:rFonts w:ascii="Times New Roman" w:hAnsi="Times New Roman" w:cs="Times New Roman"/>
          <w:b/>
          <w:bCs/>
          <w:sz w:val="24"/>
          <w:szCs w:val="24"/>
        </w:rPr>
        <w:t>вложения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основных средств (далее - ОС) и капитальных вложений ведется в соответствии с Федеральными стандартами бухгалтерского учета 6/2020 "Основные средства" и 26/2020 "Капитальные вложения", утвержденными Приказом Минфина России от 17.09.2020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204н.</w:t>
      </w:r>
    </w:p>
    <w:p>
      <w:pPr>
        <w:pStyle w:val="44"/>
        <w:rPr>
          <w:rFonts w:ascii="Times New Roman" w:hAnsi="Times New Roman" w:cs="Times New Roman"/>
          <w:sz w:val="24"/>
          <w:szCs w:val="24"/>
        </w:rPr>
      </w:pPr>
      <w:r>
        <w:rPr>
          <w:rFonts w:ascii="Times New Roman" w:hAnsi="Times New Roman" w:cs="Times New Roman"/>
          <w:sz w:val="24"/>
          <w:szCs w:val="24"/>
        </w:rPr>
        <w:t>2.1. Принятие ОС к учету.</w:t>
      </w:r>
    </w:p>
    <w:p>
      <w:pPr>
        <w:pStyle w:val="44"/>
        <w:rPr>
          <w:rFonts w:ascii="Times New Roman" w:hAnsi="Times New Roman" w:cs="Times New Roman"/>
          <w:sz w:val="24"/>
          <w:szCs w:val="24"/>
        </w:rPr>
      </w:pPr>
      <w:r>
        <w:rPr>
          <w:rFonts w:ascii="Times New Roman" w:hAnsi="Times New Roman" w:cs="Times New Roman"/>
          <w:sz w:val="24"/>
          <w:szCs w:val="24"/>
        </w:rPr>
        <w:t>2.1.1. Актив, удовлетворяющий условиям п. 4 ФСБУ 6/2020, относится к объектам ОС, если его стоимость больше 50 тыс. руб.</w:t>
      </w:r>
    </w:p>
    <w:p>
      <w:pPr>
        <w:pStyle w:val="44"/>
        <w:rPr>
          <w:rFonts w:ascii="Times New Roman" w:hAnsi="Times New Roman" w:cs="Times New Roman"/>
          <w:sz w:val="24"/>
          <w:szCs w:val="24"/>
        </w:rPr>
      </w:pPr>
      <w:r>
        <w:rPr>
          <w:rFonts w:ascii="Times New Roman" w:hAnsi="Times New Roman" w:cs="Times New Roman"/>
          <w:sz w:val="24"/>
          <w:szCs w:val="24"/>
        </w:rPr>
        <w:t>Если его стоимость не превышает установленного лимита, то актив не признается, а затраты на приобретение, создание такого актива отражаются в составе расходов периода, в котором они понесены.</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5 ФСБУ 6/2020, Письмо Минфина России от 25.08.2021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07-01-09/68312)</w:t>
      </w:r>
    </w:p>
    <w:p>
      <w:pPr>
        <w:pStyle w:val="44"/>
        <w:rPr>
          <w:rFonts w:ascii="Times New Roman" w:hAnsi="Times New Roman" w:cs="Times New Roman"/>
          <w:sz w:val="24"/>
          <w:szCs w:val="24"/>
        </w:rPr>
      </w:pPr>
      <w:r>
        <w:rPr>
          <w:rFonts w:ascii="Times New Roman" w:hAnsi="Times New Roman" w:cs="Times New Roman"/>
          <w:sz w:val="24"/>
          <w:szCs w:val="24"/>
        </w:rPr>
        <w:t>2.1.2. Для обеспечения контроля за сохранностью активов со сроком использования более 12 месяцев, не отнесенных в состав ОС, стоимость таких активов принимается на забалансовый учет.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5 ФСБУ 6/2020)</w:t>
      </w:r>
    </w:p>
    <w:p>
      <w:pPr>
        <w:pStyle w:val="44"/>
        <w:rPr>
          <w:rFonts w:ascii="Times New Roman" w:hAnsi="Times New Roman" w:cs="Times New Roman"/>
          <w:sz w:val="24"/>
          <w:szCs w:val="24"/>
        </w:rPr>
      </w:pPr>
      <w:r>
        <w:rPr>
          <w:rFonts w:ascii="Times New Roman" w:hAnsi="Times New Roman" w:cs="Times New Roman"/>
          <w:sz w:val="24"/>
          <w:szCs w:val="24"/>
        </w:rPr>
        <w:t>2.1.3. Самостоятельными инвентарными объектами ОС признаются существенные по величине затраты на проведение ремонта, техосмотра, техобслуживания ОС с частотой более 12 месяцев или более обычного операционного цикла, превышающего 12 месяцев. Величина затрат признается существенной, если она превышает 10% первоначальной стоимости основного средства.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10 ФСБУ 6/2020)</w:t>
      </w:r>
    </w:p>
    <w:p>
      <w:pPr>
        <w:pStyle w:val="44"/>
        <w:rPr>
          <w:rFonts w:ascii="Times New Roman" w:hAnsi="Times New Roman" w:cs="Times New Roman"/>
          <w:sz w:val="24"/>
          <w:szCs w:val="24"/>
        </w:rPr>
      </w:pPr>
      <w:r>
        <w:rPr>
          <w:rFonts w:ascii="Times New Roman" w:hAnsi="Times New Roman" w:cs="Times New Roman"/>
          <w:sz w:val="24"/>
          <w:szCs w:val="24"/>
        </w:rPr>
        <w:t>2.1.4. Неотделимые улучшения в арендованные объекты ОС, произведенные после принятия к учету соответствующего права пользования активом, увеличивают фактическую стоимость этого права пользования по аналогии с учетом реконструкции, модернизации ОС.</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 ФСБУ 6/2020, п. 7.1 ПБУ 1/2008, п. 10 ФСБУ 25/2018)</w:t>
      </w:r>
    </w:p>
    <w:p>
      <w:pPr>
        <w:pStyle w:val="44"/>
        <w:rPr>
          <w:rFonts w:ascii="Times New Roman" w:hAnsi="Times New Roman" w:cs="Times New Roman"/>
          <w:sz w:val="24"/>
          <w:szCs w:val="24"/>
        </w:rPr>
      </w:pPr>
      <w:r>
        <w:rPr>
          <w:rFonts w:ascii="Times New Roman" w:hAnsi="Times New Roman" w:cs="Times New Roman"/>
          <w:sz w:val="24"/>
          <w:szCs w:val="24"/>
        </w:rPr>
        <w:t>2.2. Срок полезного использования ОС.</w:t>
      </w:r>
    </w:p>
    <w:p>
      <w:pPr>
        <w:pStyle w:val="44"/>
        <w:rPr>
          <w:rFonts w:ascii="Times New Roman" w:hAnsi="Times New Roman" w:cs="Times New Roman"/>
          <w:sz w:val="24"/>
          <w:szCs w:val="24"/>
        </w:rPr>
      </w:pPr>
      <w:r>
        <w:rPr>
          <w:rFonts w:ascii="Times New Roman" w:hAnsi="Times New Roman" w:cs="Times New Roman"/>
          <w:sz w:val="24"/>
          <w:szCs w:val="24"/>
        </w:rPr>
        <w:t>2.2.1. Срок полезного использования объектов ОС определяется исходя из ожидаемого периода времени, в течение которого объект будет приносить экономические выгоды.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8 ФСБУ 6/2020)</w:t>
      </w:r>
    </w:p>
    <w:p>
      <w:pPr>
        <w:pStyle w:val="44"/>
        <w:rPr>
          <w:rFonts w:ascii="Times New Roman" w:hAnsi="Times New Roman" w:cs="Times New Roman"/>
          <w:sz w:val="24"/>
          <w:szCs w:val="24"/>
        </w:rPr>
      </w:pPr>
      <w:r>
        <w:rPr>
          <w:rFonts w:ascii="Times New Roman" w:hAnsi="Times New Roman" w:cs="Times New Roman"/>
          <w:sz w:val="24"/>
          <w:szCs w:val="24"/>
        </w:rPr>
        <w:t xml:space="preserve">2.2.2. Ожидаемый период эксплуатации объекта с учетом производительности или мощности определяется на основании Классификации основных средств, включаемых в амортизационные группы, утвержденной Постановлением Правительства РФ от 01.01.2002 </w:t>
      </w:r>
      <w:r>
        <w:rPr>
          <w:rFonts w:ascii="Times New Roman" w:hAnsi="Times New Roman" w:cs="Times New Roman"/>
          <w:sz w:val="24"/>
          <w:szCs w:val="24"/>
          <w:lang w:val="ru-RU"/>
        </w:rPr>
        <w:t>№</w:t>
      </w:r>
      <w:r>
        <w:rPr>
          <w:rFonts w:ascii="Times New Roman" w:hAnsi="Times New Roman" w:cs="Times New Roman"/>
          <w:sz w:val="24"/>
          <w:szCs w:val="24"/>
        </w:rPr>
        <w:t xml:space="preserve"> 1.</w:t>
      </w:r>
    </w:p>
    <w:p>
      <w:pPr>
        <w:pStyle w:val="44"/>
        <w:rPr>
          <w:rFonts w:ascii="Times New Roman" w:hAnsi="Times New Roman" w:cs="Times New Roman"/>
          <w:sz w:val="24"/>
          <w:szCs w:val="24"/>
        </w:rPr>
      </w:pPr>
      <w:r>
        <w:rPr>
          <w:rFonts w:ascii="Times New Roman" w:hAnsi="Times New Roman" w:cs="Times New Roman"/>
          <w:sz w:val="24"/>
          <w:szCs w:val="24"/>
        </w:rPr>
        <w:t>При этом в отношении объектов ОС, эксплуатировавшихся предыдущими собственниками, учитывается срок их фактического использования на дату принятия к учету.</w:t>
      </w:r>
    </w:p>
    <w:p>
      <w:pPr>
        <w:pStyle w:val="44"/>
        <w:rPr>
          <w:rFonts w:ascii="Times New Roman" w:hAnsi="Times New Roman" w:cs="Times New Roman"/>
          <w:sz w:val="24"/>
          <w:szCs w:val="24"/>
        </w:rPr>
      </w:pPr>
      <w:r>
        <w:rPr>
          <w:rFonts w:ascii="Times New Roman" w:hAnsi="Times New Roman" w:cs="Times New Roman"/>
          <w:sz w:val="24"/>
          <w:szCs w:val="24"/>
        </w:rPr>
        <w:t>2.2.3. В качестве инвентарного объекта учитывается объект ОС со всеми его приспособлениями и принадлежностями. При наличии у одного объекта нескольких частей, стоимость и сроки полезного использования которых существенно отличаются от стоимости и срока полезного использования объекта в целом, каждая такая часть признается самостоятельным инвентарным объектом. Стоимость и срок полезного использования части считаются существенно отличающимися, если разница составляет более 20% соответственно от стоимости и срока полезного использования объекта в целом.</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10 ФСБУ 6/2020)</w:t>
      </w:r>
    </w:p>
    <w:p>
      <w:pPr>
        <w:pStyle w:val="44"/>
        <w:rPr>
          <w:rFonts w:ascii="Times New Roman" w:hAnsi="Times New Roman" w:cs="Times New Roman"/>
          <w:sz w:val="24"/>
          <w:szCs w:val="24"/>
        </w:rPr>
      </w:pPr>
      <w:r>
        <w:rPr>
          <w:rFonts w:ascii="Times New Roman" w:hAnsi="Times New Roman" w:cs="Times New Roman"/>
          <w:sz w:val="24"/>
          <w:szCs w:val="24"/>
        </w:rPr>
        <w:t>2.3. В учете выделяются следующие группы однородных объектов ОС:</w:t>
      </w:r>
    </w:p>
    <w:p>
      <w:pPr>
        <w:pStyle w:val="44"/>
        <w:rPr>
          <w:rFonts w:ascii="Times New Roman" w:hAnsi="Times New Roman" w:cs="Times New Roman"/>
          <w:sz w:val="24"/>
          <w:szCs w:val="24"/>
        </w:rPr>
      </w:pPr>
      <w:r>
        <w:rPr>
          <w:rFonts w:ascii="Times New Roman" w:hAnsi="Times New Roman" w:cs="Times New Roman"/>
          <w:sz w:val="24"/>
          <w:szCs w:val="24"/>
        </w:rPr>
        <w:t>- земельные участки;</w:t>
      </w:r>
    </w:p>
    <w:p>
      <w:pPr>
        <w:pStyle w:val="44"/>
        <w:rPr>
          <w:rFonts w:ascii="Times New Roman" w:hAnsi="Times New Roman" w:cs="Times New Roman"/>
          <w:sz w:val="24"/>
          <w:szCs w:val="24"/>
        </w:rPr>
      </w:pPr>
      <w:r>
        <w:rPr>
          <w:rFonts w:ascii="Times New Roman" w:hAnsi="Times New Roman" w:cs="Times New Roman"/>
          <w:sz w:val="24"/>
          <w:szCs w:val="24"/>
        </w:rPr>
        <w:t>- здания, строения, помещения;</w:t>
      </w:r>
    </w:p>
    <w:p>
      <w:pPr>
        <w:pStyle w:val="44"/>
        <w:rPr>
          <w:rFonts w:ascii="Times New Roman" w:hAnsi="Times New Roman" w:cs="Times New Roman"/>
          <w:sz w:val="24"/>
          <w:szCs w:val="24"/>
        </w:rPr>
      </w:pPr>
      <w:r>
        <w:rPr>
          <w:rFonts w:ascii="Times New Roman" w:hAnsi="Times New Roman" w:cs="Times New Roman"/>
          <w:sz w:val="24"/>
          <w:szCs w:val="24"/>
        </w:rPr>
        <w:t>- производственное оборудование;</w:t>
      </w:r>
    </w:p>
    <w:p>
      <w:pPr>
        <w:pStyle w:val="44"/>
        <w:rPr>
          <w:rFonts w:ascii="Times New Roman" w:hAnsi="Times New Roman" w:cs="Times New Roman"/>
          <w:sz w:val="24"/>
          <w:szCs w:val="24"/>
        </w:rPr>
      </w:pPr>
      <w:r>
        <w:rPr>
          <w:rFonts w:ascii="Times New Roman" w:hAnsi="Times New Roman" w:cs="Times New Roman"/>
          <w:sz w:val="24"/>
          <w:szCs w:val="24"/>
        </w:rPr>
        <w:t>- транспортные средства;</w:t>
      </w:r>
    </w:p>
    <w:p>
      <w:pPr>
        <w:pStyle w:val="44"/>
        <w:rPr>
          <w:rFonts w:ascii="Times New Roman" w:hAnsi="Times New Roman" w:cs="Times New Roman"/>
          <w:sz w:val="24"/>
          <w:szCs w:val="24"/>
        </w:rPr>
      </w:pPr>
      <w:r>
        <w:rPr>
          <w:rFonts w:ascii="Times New Roman" w:hAnsi="Times New Roman" w:cs="Times New Roman"/>
          <w:sz w:val="24"/>
          <w:szCs w:val="24"/>
        </w:rPr>
        <w:t>- компьютерная и прочая офисная техника.</w:t>
      </w:r>
    </w:p>
    <w:p>
      <w:pPr>
        <w:pStyle w:val="44"/>
        <w:rPr>
          <w:rFonts w:ascii="Times New Roman" w:hAnsi="Times New Roman" w:cs="Times New Roman"/>
          <w:sz w:val="24"/>
          <w:szCs w:val="24"/>
        </w:rPr>
      </w:pPr>
      <w:r>
        <w:rPr>
          <w:rFonts w:ascii="Times New Roman" w:hAnsi="Times New Roman" w:cs="Times New Roman"/>
          <w:sz w:val="24"/>
          <w:szCs w:val="24"/>
        </w:rPr>
        <w:t>2.4. Переоценка ОС.</w:t>
      </w:r>
    </w:p>
    <w:p>
      <w:pPr>
        <w:pStyle w:val="44"/>
        <w:rPr>
          <w:rFonts w:ascii="Times New Roman" w:hAnsi="Times New Roman" w:cs="Times New Roman"/>
          <w:sz w:val="24"/>
          <w:szCs w:val="24"/>
        </w:rPr>
      </w:pPr>
      <w:r>
        <w:rPr>
          <w:rFonts w:ascii="Times New Roman" w:hAnsi="Times New Roman" w:cs="Times New Roman"/>
          <w:sz w:val="24"/>
          <w:szCs w:val="24"/>
        </w:rPr>
        <w:t>2.4.1. По переоцененной стоимости учитываются:</w:t>
      </w:r>
    </w:p>
    <w:p>
      <w:pPr>
        <w:pStyle w:val="44"/>
        <w:rPr>
          <w:rFonts w:ascii="Times New Roman" w:hAnsi="Times New Roman" w:cs="Times New Roman"/>
          <w:sz w:val="24"/>
          <w:szCs w:val="24"/>
        </w:rPr>
      </w:pPr>
      <w:r>
        <w:rPr>
          <w:rFonts w:ascii="Times New Roman" w:hAnsi="Times New Roman" w:cs="Times New Roman"/>
          <w:sz w:val="24"/>
          <w:szCs w:val="24"/>
        </w:rPr>
        <w:t>- земельные участки;</w:t>
      </w:r>
    </w:p>
    <w:p>
      <w:pPr>
        <w:pStyle w:val="44"/>
        <w:rPr>
          <w:rFonts w:ascii="Times New Roman" w:hAnsi="Times New Roman" w:cs="Times New Roman"/>
          <w:sz w:val="24"/>
          <w:szCs w:val="24"/>
        </w:rPr>
      </w:pPr>
      <w:r>
        <w:rPr>
          <w:rFonts w:ascii="Times New Roman" w:hAnsi="Times New Roman" w:cs="Times New Roman"/>
          <w:sz w:val="24"/>
          <w:szCs w:val="24"/>
        </w:rPr>
        <w:t>- здания, строения, помещения.</w:t>
      </w:r>
    </w:p>
    <w:p>
      <w:pPr>
        <w:pStyle w:val="44"/>
        <w:rPr>
          <w:rFonts w:ascii="Times New Roman" w:hAnsi="Times New Roman" w:cs="Times New Roman"/>
          <w:sz w:val="24"/>
          <w:szCs w:val="24"/>
        </w:rPr>
      </w:pPr>
      <w:r>
        <w:rPr>
          <w:rFonts w:ascii="Times New Roman" w:hAnsi="Times New Roman" w:cs="Times New Roman"/>
          <w:sz w:val="24"/>
          <w:szCs w:val="24"/>
        </w:rPr>
        <w:t>Иные ОС учитываются по первоначальной стоимости.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13 ФСБУ 6/2020)</w:t>
      </w:r>
    </w:p>
    <w:p>
      <w:pPr>
        <w:pStyle w:val="44"/>
        <w:rPr>
          <w:rFonts w:ascii="Times New Roman" w:hAnsi="Times New Roman" w:cs="Times New Roman"/>
          <w:sz w:val="24"/>
          <w:szCs w:val="24"/>
        </w:rPr>
      </w:pPr>
      <w:r>
        <w:rPr>
          <w:rFonts w:ascii="Times New Roman" w:hAnsi="Times New Roman" w:cs="Times New Roman"/>
          <w:sz w:val="24"/>
          <w:szCs w:val="24"/>
        </w:rPr>
        <w:t>2.4.2. Переоценка ОС проводится путем пересчета их первоначальной стоимости и накопленной амортизации так, чтобы балансовая стоимость объекта ОС после переоценки равнялась его справедливой стоимости.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17 ФСБУ 6/2020)</w:t>
      </w:r>
    </w:p>
    <w:p>
      <w:pPr>
        <w:pStyle w:val="44"/>
        <w:rPr>
          <w:rFonts w:ascii="Times New Roman" w:hAnsi="Times New Roman" w:cs="Times New Roman"/>
          <w:sz w:val="24"/>
          <w:szCs w:val="24"/>
        </w:rPr>
      </w:pPr>
      <w:r>
        <w:rPr>
          <w:rFonts w:ascii="Times New Roman" w:hAnsi="Times New Roman" w:cs="Times New Roman"/>
          <w:sz w:val="24"/>
          <w:szCs w:val="24"/>
        </w:rPr>
        <w:t>2.4.3. Накопленная дооценка ОС, отраженная в составе капитала, списывается на нераспределенную прибыль единовременно при списании объекта ОС, по которому была накоплена дооценка.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"а" п. 20 ФСБУ 6/2020)</w:t>
      </w:r>
    </w:p>
    <w:p>
      <w:pPr>
        <w:pStyle w:val="44"/>
        <w:rPr>
          <w:rFonts w:ascii="Times New Roman" w:hAnsi="Times New Roman" w:cs="Times New Roman"/>
          <w:sz w:val="24"/>
          <w:szCs w:val="24"/>
        </w:rPr>
      </w:pPr>
      <w:r>
        <w:rPr>
          <w:rFonts w:ascii="Times New Roman" w:hAnsi="Times New Roman" w:cs="Times New Roman"/>
          <w:sz w:val="24"/>
          <w:szCs w:val="24"/>
        </w:rPr>
        <w:t>2.4.4. Переоценка объектов ОС проводится ежегодно на конец отчетного года.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16 ФСБУ 6/2020)</w:t>
      </w:r>
    </w:p>
    <w:p>
      <w:pPr>
        <w:pStyle w:val="44"/>
        <w:rPr>
          <w:rFonts w:ascii="Times New Roman" w:hAnsi="Times New Roman" w:cs="Times New Roman"/>
          <w:sz w:val="24"/>
          <w:szCs w:val="24"/>
        </w:rPr>
      </w:pPr>
      <w:r>
        <w:rPr>
          <w:rFonts w:ascii="Times New Roman" w:hAnsi="Times New Roman" w:cs="Times New Roman"/>
          <w:sz w:val="24"/>
          <w:szCs w:val="24"/>
        </w:rPr>
        <w:t>2.4.5. Все результаты переоценки ОС подлежат отражению в бухгалтерском учете.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15 ФСБУ 6/2020)</w:t>
      </w:r>
    </w:p>
    <w:p>
      <w:pPr>
        <w:pStyle w:val="44"/>
        <w:rPr>
          <w:rFonts w:ascii="Times New Roman" w:hAnsi="Times New Roman" w:cs="Times New Roman"/>
          <w:sz w:val="24"/>
          <w:szCs w:val="24"/>
        </w:rPr>
      </w:pPr>
      <w:r>
        <w:rPr>
          <w:rFonts w:ascii="Times New Roman" w:hAnsi="Times New Roman" w:cs="Times New Roman"/>
          <w:sz w:val="24"/>
          <w:szCs w:val="24"/>
        </w:rPr>
        <w:t>2.4.6. Организация проводит проверку ОС на обесценение в порядке, установленном Международным стандартом финансовой отчетности (IAS) 36 "Обесценение активов".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38 ФСБУ 6/2020)</w:t>
      </w:r>
    </w:p>
    <w:p>
      <w:pPr>
        <w:pStyle w:val="44"/>
        <w:rPr>
          <w:rFonts w:ascii="Times New Roman" w:hAnsi="Times New Roman" w:cs="Times New Roman"/>
          <w:sz w:val="24"/>
          <w:szCs w:val="24"/>
        </w:rPr>
      </w:pPr>
      <w:r>
        <w:rPr>
          <w:rFonts w:ascii="Times New Roman" w:hAnsi="Times New Roman" w:cs="Times New Roman"/>
          <w:sz w:val="24"/>
          <w:szCs w:val="24"/>
        </w:rPr>
        <w:t>2.4.7. Организация проводит проверку капвложений на обесценение в порядке, установленном Международным стандартом финансовой отчетности (IAS) 36 "Обесценение активов".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17 ФСБУ 26/2020)</w:t>
      </w:r>
    </w:p>
    <w:p>
      <w:pPr>
        <w:pStyle w:val="44"/>
        <w:rPr>
          <w:rFonts w:ascii="Times New Roman" w:hAnsi="Times New Roman" w:cs="Times New Roman"/>
          <w:sz w:val="24"/>
          <w:szCs w:val="24"/>
        </w:rPr>
      </w:pPr>
      <w:r>
        <w:rPr>
          <w:rFonts w:ascii="Times New Roman" w:hAnsi="Times New Roman" w:cs="Times New Roman"/>
          <w:sz w:val="24"/>
          <w:szCs w:val="24"/>
        </w:rPr>
        <w:t>2.5. Амортизация ОС.</w:t>
      </w:r>
    </w:p>
    <w:p>
      <w:pPr>
        <w:pStyle w:val="44"/>
        <w:rPr>
          <w:rFonts w:ascii="Times New Roman" w:hAnsi="Times New Roman" w:cs="Times New Roman"/>
          <w:sz w:val="24"/>
          <w:szCs w:val="24"/>
        </w:rPr>
      </w:pPr>
      <w:r>
        <w:rPr>
          <w:rFonts w:ascii="Times New Roman" w:hAnsi="Times New Roman" w:cs="Times New Roman"/>
          <w:sz w:val="24"/>
          <w:szCs w:val="24"/>
        </w:rPr>
        <w:t>2.5.1. Начисление амортизации объекта ОС начинается с даты его признания в бухгалтерском учете и прекращается с момента его списания с учета. В месяце принятия к учету ОС амортизация начисляется в сумме пропорционально количеству дней его учета в составе ОС в данном месяце.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33 ФСБУ 6/2020)</w:t>
      </w:r>
    </w:p>
    <w:p>
      <w:pPr>
        <w:pStyle w:val="44"/>
        <w:rPr>
          <w:rFonts w:ascii="Times New Roman" w:hAnsi="Times New Roman" w:cs="Times New Roman"/>
          <w:sz w:val="24"/>
          <w:szCs w:val="24"/>
        </w:rPr>
      </w:pPr>
      <w:r>
        <w:rPr>
          <w:rFonts w:ascii="Times New Roman" w:hAnsi="Times New Roman" w:cs="Times New Roman"/>
          <w:sz w:val="24"/>
          <w:szCs w:val="24"/>
        </w:rPr>
        <w:t>2.5.2. По всем объектам ОС, за исключением ОС, которые не подлежат амортизации, амортизация начисляется линейным способом.</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35 ФСБУ 6/2020)</w:t>
      </w:r>
    </w:p>
    <w:p>
      <w:pPr>
        <w:pStyle w:val="44"/>
        <w:rPr>
          <w:rFonts w:ascii="Times New Roman" w:hAnsi="Times New Roman" w:cs="Times New Roman"/>
          <w:sz w:val="24"/>
          <w:szCs w:val="24"/>
        </w:rPr>
      </w:pPr>
      <w:r>
        <w:rPr>
          <w:rFonts w:ascii="Times New Roman" w:hAnsi="Times New Roman" w:cs="Times New Roman"/>
          <w:sz w:val="24"/>
          <w:szCs w:val="24"/>
        </w:rPr>
        <w:t>2.6. Списание ОС с учета.</w:t>
      </w:r>
    </w:p>
    <w:p>
      <w:pPr>
        <w:pStyle w:val="44"/>
        <w:rPr>
          <w:rFonts w:ascii="Times New Roman" w:hAnsi="Times New Roman" w:cs="Times New Roman"/>
          <w:sz w:val="24"/>
          <w:szCs w:val="24"/>
        </w:rPr>
      </w:pPr>
      <w:r>
        <w:rPr>
          <w:rFonts w:ascii="Times New Roman" w:hAnsi="Times New Roman" w:cs="Times New Roman"/>
          <w:sz w:val="24"/>
          <w:szCs w:val="24"/>
        </w:rPr>
        <w:t>2.6.1. Финансовый результат от выбытия ОС формируется на счете учета расчетов с покупателем (на счете 62), а затем относится на счет учета прочих доходов и расходов.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44 ФСБУ 6/2020)</w:t>
      </w:r>
    </w:p>
    <w:p>
      <w:pPr>
        <w:pStyle w:val="44"/>
        <w:rPr>
          <w:rFonts w:ascii="Times New Roman" w:hAnsi="Times New Roman" w:cs="Times New Roman"/>
          <w:sz w:val="24"/>
          <w:szCs w:val="24"/>
        </w:rPr>
      </w:pPr>
      <w:r>
        <w:rPr>
          <w:rFonts w:ascii="Times New Roman" w:hAnsi="Times New Roman" w:cs="Times New Roman"/>
          <w:sz w:val="24"/>
          <w:szCs w:val="24"/>
        </w:rPr>
        <w:t>2.6.2. Учет материальных ценностей, извлекаемых из ОС при ликвидации (модернизации, ремонте, текущем содержании и т.д.), зависит от вида ожидаемого использования этих ценностей.</w:t>
      </w:r>
    </w:p>
    <w:p>
      <w:pPr>
        <w:pStyle w:val="44"/>
        <w:rPr>
          <w:rFonts w:ascii="Times New Roman" w:hAnsi="Times New Roman" w:cs="Times New Roman"/>
          <w:sz w:val="24"/>
          <w:szCs w:val="24"/>
        </w:rPr>
      </w:pPr>
      <w:r>
        <w:rPr>
          <w:rFonts w:ascii="Times New Roman" w:hAnsi="Times New Roman" w:cs="Times New Roman"/>
          <w:sz w:val="24"/>
          <w:szCs w:val="24"/>
        </w:rPr>
        <w:t>Если извлекаемые ценности предназначены для использования в течение периода более 12 месяцев, они продолжают учитываться в составе ОС. При необходимости уточняются единица учета ОС и элементы амортизации. Балансовая стоимость ОС в части, приходящейся на извлекаемые ценности, не списывается, какие-либо новые активы и (или) доходы не признаются.</w:t>
      </w:r>
    </w:p>
    <w:p>
      <w:pPr>
        <w:pStyle w:val="44"/>
        <w:rPr>
          <w:rFonts w:ascii="Times New Roman" w:hAnsi="Times New Roman" w:cs="Times New Roman"/>
          <w:sz w:val="24"/>
          <w:szCs w:val="24"/>
        </w:rPr>
      </w:pPr>
      <w:r>
        <w:rPr>
          <w:rFonts w:ascii="Times New Roman" w:hAnsi="Times New Roman" w:cs="Times New Roman"/>
          <w:sz w:val="24"/>
          <w:szCs w:val="24"/>
        </w:rPr>
        <w:t>Если извлекаемые ценности предназначены для использования или продажи в течение не более чем 12 месяцев либо в рамках обычного операционного цикла, превышающего 12 месяцев, то они признаются в составе запасов.</w:t>
      </w:r>
    </w:p>
    <w:p>
      <w:pPr>
        <w:pStyle w:val="44"/>
        <w:rPr>
          <w:rFonts w:ascii="Times New Roman" w:hAnsi="Times New Roman" w:cs="Times New Roman"/>
          <w:sz w:val="24"/>
          <w:szCs w:val="24"/>
        </w:rPr>
      </w:pPr>
      <w:r>
        <w:rPr>
          <w:rFonts w:ascii="Times New Roman" w:hAnsi="Times New Roman" w:cs="Times New Roman"/>
          <w:sz w:val="24"/>
          <w:szCs w:val="24"/>
        </w:rPr>
        <w:t>Они оцениваются по наименьшей из величин:</w:t>
      </w:r>
    </w:p>
    <w:p>
      <w:pPr>
        <w:pStyle w:val="44"/>
        <w:rPr>
          <w:rFonts w:ascii="Times New Roman" w:hAnsi="Times New Roman" w:cs="Times New Roman"/>
          <w:sz w:val="24"/>
          <w:szCs w:val="24"/>
        </w:rPr>
      </w:pPr>
      <w:r>
        <w:rPr>
          <w:rFonts w:ascii="Times New Roman" w:hAnsi="Times New Roman" w:cs="Times New Roman"/>
          <w:sz w:val="24"/>
          <w:szCs w:val="24"/>
        </w:rPr>
        <w:t>а) стоимости, по которой учитываются аналогичные запасы (в том числе с учетом их обесценения), приобретаемые в рамках обычного операционного цикла;</w:t>
      </w:r>
    </w:p>
    <w:p>
      <w:pPr>
        <w:pStyle w:val="44"/>
        <w:rPr>
          <w:rFonts w:ascii="Times New Roman" w:hAnsi="Times New Roman" w:cs="Times New Roman"/>
          <w:sz w:val="24"/>
          <w:szCs w:val="24"/>
        </w:rPr>
      </w:pPr>
      <w:r>
        <w:rPr>
          <w:rFonts w:ascii="Times New Roman" w:hAnsi="Times New Roman" w:cs="Times New Roman"/>
          <w:sz w:val="24"/>
          <w:szCs w:val="24"/>
        </w:rPr>
        <w:t>б) суммы балансовой стоимости основных средств в части, приходящейся на извлекаемые ценности, и затрат, понесенных в связи с демонтажем и разборкой объектов, извлечением ценностей и приведением их в состояние, необходимое для потребления (продажи, использования) в качестве запасов.</w:t>
      </w:r>
    </w:p>
    <w:p>
      <w:pPr>
        <w:pStyle w:val="44"/>
        <w:rPr>
          <w:rFonts w:ascii="Times New Roman" w:hAnsi="Times New Roman" w:cs="Times New Roman"/>
          <w:sz w:val="24"/>
          <w:szCs w:val="24"/>
        </w:rPr>
      </w:pPr>
      <w:r>
        <w:rPr>
          <w:rFonts w:ascii="Times New Roman" w:hAnsi="Times New Roman" w:cs="Times New Roman"/>
          <w:sz w:val="24"/>
          <w:szCs w:val="24"/>
        </w:rPr>
        <w:t>Если извлекаемые ценности предназначены для продажи вне рамок обычного операционного цикла, то они признаются долгосрочными активами к продаже.</w:t>
      </w:r>
    </w:p>
    <w:p>
      <w:pPr>
        <w:pStyle w:val="44"/>
        <w:rPr>
          <w:rFonts w:ascii="Times New Roman" w:hAnsi="Times New Roman" w:cs="Times New Roman"/>
          <w:sz w:val="24"/>
          <w:szCs w:val="24"/>
        </w:rPr>
      </w:pPr>
      <w:r>
        <w:rPr>
          <w:rFonts w:ascii="Times New Roman" w:hAnsi="Times New Roman" w:cs="Times New Roman"/>
          <w:sz w:val="24"/>
          <w:szCs w:val="24"/>
        </w:rPr>
        <w:t>Исключения:</w:t>
      </w:r>
    </w:p>
    <w:p>
      <w:pPr>
        <w:pStyle w:val="44"/>
        <w:rPr>
          <w:rFonts w:ascii="Times New Roman" w:hAnsi="Times New Roman" w:cs="Times New Roman"/>
          <w:sz w:val="24"/>
          <w:szCs w:val="24"/>
        </w:rPr>
      </w:pPr>
      <w:r>
        <w:rPr>
          <w:rFonts w:ascii="Times New Roman" w:hAnsi="Times New Roman" w:cs="Times New Roman"/>
          <w:sz w:val="24"/>
          <w:szCs w:val="24"/>
        </w:rPr>
        <w:t>а) предполагаемая сумма поступлений от продажи таких ценностей, как ожидается, не превысит или несущественно превысит предполагаемую сумму затрат, необходимых для их извлечения, подготовки к продаже и осуществления продажи. В этом случае остаточная балансовая стоимость основных средств в части, приходящейся на извлекаемые ценности, списывается без признания каких-либо активов;</w:t>
      </w:r>
    </w:p>
    <w:p>
      <w:pPr>
        <w:pStyle w:val="44"/>
        <w:rPr>
          <w:rFonts w:ascii="Times New Roman" w:hAnsi="Times New Roman" w:cs="Times New Roman"/>
          <w:sz w:val="24"/>
          <w:szCs w:val="24"/>
        </w:rPr>
      </w:pPr>
      <w:r>
        <w:rPr>
          <w:rFonts w:ascii="Times New Roman" w:hAnsi="Times New Roman" w:cs="Times New Roman"/>
          <w:sz w:val="24"/>
          <w:szCs w:val="24"/>
        </w:rPr>
        <w:t>б) извлекаемые ценности проданы до завершения отчетного периода, в котором наступила дата, на которую они были бы признаны. В таком случае выбытие ОС (частичное выбытие) и извлечение ценностей рассматриваются как единый факт хозяйственной жизни, который учитывается согласно п. 44 ФСБУ 6/2020.</w:t>
      </w:r>
    </w:p>
    <w:p>
      <w:pPr>
        <w:pStyle w:val="44"/>
        <w:rPr>
          <w:rFonts w:ascii="Times New Roman" w:hAnsi="Times New Roman" w:cs="Times New Roman"/>
          <w:sz w:val="24"/>
          <w:szCs w:val="24"/>
        </w:rPr>
      </w:pPr>
      <w:r>
        <w:rPr>
          <w:rFonts w:ascii="Times New Roman" w:hAnsi="Times New Roman" w:cs="Times New Roman"/>
          <w:sz w:val="24"/>
          <w:szCs w:val="24"/>
        </w:rPr>
        <w:t>Принимаемые к учету активы оцениваются по балансовой стоимости основных средств в части, приходящейся на извлекаемые ценности.</w:t>
      </w:r>
    </w:p>
    <w:p>
      <w:pPr>
        <w:pStyle w:val="44"/>
        <w:rPr>
          <w:rFonts w:ascii="Times New Roman" w:hAnsi="Times New Roman" w:cs="Times New Roman"/>
          <w:sz w:val="24"/>
          <w:szCs w:val="24"/>
        </w:rPr>
      </w:pPr>
      <w:r>
        <w:rPr>
          <w:rFonts w:ascii="Times New Roman" w:hAnsi="Times New Roman" w:cs="Times New Roman"/>
          <w:sz w:val="24"/>
          <w:szCs w:val="24"/>
        </w:rPr>
        <w:t>Извлекаемые ценности в обоих случаях принимаются к учету на наиболее раннюю из следующих дат:</w:t>
      </w:r>
    </w:p>
    <w:p>
      <w:pPr>
        <w:pStyle w:val="44"/>
        <w:rPr>
          <w:rFonts w:ascii="Times New Roman" w:hAnsi="Times New Roman" w:cs="Times New Roman"/>
          <w:sz w:val="24"/>
          <w:szCs w:val="24"/>
        </w:rPr>
      </w:pPr>
      <w:r>
        <w:rPr>
          <w:rFonts w:ascii="Times New Roman" w:hAnsi="Times New Roman" w:cs="Times New Roman"/>
          <w:sz w:val="24"/>
          <w:szCs w:val="24"/>
        </w:rPr>
        <w:t>а) дату, когда использование основного средства (части основного средства) прекращено;</w:t>
      </w:r>
    </w:p>
    <w:p>
      <w:pPr>
        <w:pStyle w:val="44"/>
        <w:rPr>
          <w:rFonts w:ascii="Times New Roman" w:hAnsi="Times New Roman" w:cs="Times New Roman"/>
          <w:sz w:val="24"/>
          <w:szCs w:val="24"/>
        </w:rPr>
      </w:pPr>
      <w:r>
        <w:rPr>
          <w:rFonts w:ascii="Times New Roman" w:hAnsi="Times New Roman" w:cs="Times New Roman"/>
          <w:sz w:val="24"/>
          <w:szCs w:val="24"/>
        </w:rPr>
        <w:t>б) дату, когда извлекаемые ценности физически отделены от основного средства.</w:t>
      </w:r>
    </w:p>
    <w:p>
      <w:pPr>
        <w:pStyle w:val="44"/>
        <w:rPr>
          <w:rFonts w:ascii="Times New Roman" w:hAnsi="Times New Roman" w:cs="Times New Roman"/>
          <w:sz w:val="24"/>
          <w:szCs w:val="24"/>
        </w:rPr>
      </w:pPr>
      <w:r>
        <w:rPr>
          <w:rFonts w:ascii="Times New Roman" w:hAnsi="Times New Roman" w:cs="Times New Roman"/>
          <w:sz w:val="24"/>
          <w:szCs w:val="24"/>
        </w:rPr>
        <w:t>Если извлекаемые ценности предполагается утилизировать, то остаточная балансовая стоимость основных средств в части, приходящейся на извлекаемые ценности, списывается. Какие-либо новые активы при этом не признаются.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7.1</w:t>
      </w:r>
      <w:r>
        <w:rPr>
          <w:rFonts w:ascii="Times New Roman" w:hAnsi="Times New Roman" w:cs="Times New Roman"/>
          <w:sz w:val="24"/>
          <w:szCs w:val="24"/>
        </w:rPr>
        <w:t xml:space="preserve"> </w:t>
      </w:r>
      <w:r>
        <w:rPr>
          <w:rFonts w:ascii="Times New Roman" w:hAnsi="Times New Roman" w:cs="Times New Roman"/>
          <w:i/>
          <w:iCs/>
          <w:sz w:val="24"/>
          <w:szCs w:val="24"/>
        </w:rPr>
        <w:t>ПБУ 1/2008, Рекомендация БМЦ Р-138/2022-КпР "Ценности от выбытия и содержания основных средств")</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3. Учетная политика. Нематериальные активы</w:t>
      </w:r>
    </w:p>
    <w:p>
      <w:pPr>
        <w:pStyle w:val="44"/>
        <w:rPr>
          <w:rFonts w:ascii="Times New Roman" w:hAnsi="Times New Roman" w:cs="Times New Roman"/>
          <w:sz w:val="24"/>
          <w:szCs w:val="24"/>
        </w:rPr>
      </w:pPr>
    </w:p>
    <w:p>
      <w:pPr>
        <w:pStyle w:val="44"/>
        <w:rPr>
          <w:rFonts w:ascii="Times New Roman" w:hAnsi="Times New Roman" w:cs="Times New Roman"/>
          <w:i/>
          <w:sz w:val="24"/>
          <w:szCs w:val="24"/>
        </w:rPr>
      </w:pPr>
      <w:r>
        <w:rPr>
          <w:rFonts w:ascii="Times New Roman" w:hAnsi="Times New Roman" w:cs="Times New Roman"/>
          <w:i/>
          <w:sz w:val="24"/>
          <w:szCs w:val="24"/>
        </w:rPr>
        <w:t xml:space="preserve">Учет нематериальных активов (далее - НМА) ведется в соответствии с Федеральным стандартом бухгалтерского учета "Нематериальные активы" ФСБУ 14/2022, утвержденным Приказом Минфина России от 30.05.2022 </w:t>
      </w:r>
      <w:r>
        <w:rPr>
          <w:rFonts w:ascii="Times New Roman" w:hAnsi="Times New Roman" w:cs="Times New Roman"/>
          <w:i/>
          <w:sz w:val="24"/>
          <w:szCs w:val="24"/>
          <w:lang w:val="ru-RU"/>
        </w:rPr>
        <w:t>№</w:t>
      </w:r>
      <w:r>
        <w:rPr>
          <w:rFonts w:ascii="Times New Roman" w:hAnsi="Times New Roman" w:cs="Times New Roman"/>
          <w:i/>
          <w:sz w:val="24"/>
          <w:szCs w:val="24"/>
        </w:rPr>
        <w:t xml:space="preserve"> 86н.</w:t>
      </w:r>
    </w:p>
    <w:p>
      <w:pPr>
        <w:pStyle w:val="44"/>
        <w:rPr>
          <w:rFonts w:ascii="Times New Roman" w:hAnsi="Times New Roman" w:cs="Times New Roman"/>
          <w:i/>
          <w:sz w:val="24"/>
          <w:szCs w:val="24"/>
        </w:rPr>
      </w:pPr>
      <w:r>
        <w:rPr>
          <w:rFonts w:ascii="Times New Roman" w:hAnsi="Times New Roman" w:cs="Times New Roman"/>
          <w:i/>
          <w:sz w:val="24"/>
          <w:szCs w:val="24"/>
        </w:rPr>
        <w:t xml:space="preserve">Учет капитальных вложений в НМА ведется в соответствии с Федеральным стандартом бухгалтерского учета "Капитальные вложения" ФСБУ 26/2020, утвержденным Приказом Минфина России от 17.09.2020 </w:t>
      </w:r>
      <w:r>
        <w:rPr>
          <w:rFonts w:ascii="Times New Roman" w:hAnsi="Times New Roman" w:cs="Times New Roman"/>
          <w:i/>
          <w:sz w:val="24"/>
          <w:szCs w:val="24"/>
          <w:lang w:val="ru-RU"/>
        </w:rPr>
        <w:t>№</w:t>
      </w:r>
      <w:r>
        <w:rPr>
          <w:rFonts w:ascii="Times New Roman" w:hAnsi="Times New Roman" w:cs="Times New Roman"/>
          <w:i/>
          <w:sz w:val="24"/>
          <w:szCs w:val="24"/>
        </w:rPr>
        <w:t xml:space="preserve"> 204н.</w:t>
      </w:r>
    </w:p>
    <w:p>
      <w:pPr>
        <w:pStyle w:val="44"/>
        <w:rPr>
          <w:rFonts w:ascii="Times New Roman" w:hAnsi="Times New Roman" w:cs="Times New Roman"/>
          <w:sz w:val="24"/>
          <w:szCs w:val="24"/>
        </w:rPr>
      </w:pPr>
      <w:r>
        <w:rPr>
          <w:rFonts w:ascii="Times New Roman" w:hAnsi="Times New Roman" w:cs="Times New Roman"/>
          <w:sz w:val="24"/>
          <w:szCs w:val="24"/>
        </w:rPr>
        <w:t>3.1. Квалификация объектов в составе НМА.</w:t>
      </w:r>
    </w:p>
    <w:p>
      <w:pPr>
        <w:pStyle w:val="44"/>
        <w:rPr>
          <w:rFonts w:ascii="Times New Roman" w:hAnsi="Times New Roman" w:cs="Times New Roman"/>
          <w:sz w:val="24"/>
          <w:szCs w:val="24"/>
        </w:rPr>
      </w:pPr>
      <w:r>
        <w:rPr>
          <w:rFonts w:ascii="Times New Roman" w:hAnsi="Times New Roman" w:cs="Times New Roman"/>
          <w:sz w:val="24"/>
          <w:szCs w:val="24"/>
        </w:rPr>
        <w:t>3.1.1. Актив, удовлетворяющий условиям п. 4 ФСБУ 14/2022, относится к объектам НМА, если его стоимость больше 100 тыс. руб.</w:t>
      </w:r>
    </w:p>
    <w:p>
      <w:pPr>
        <w:pStyle w:val="44"/>
        <w:rPr>
          <w:rFonts w:ascii="Times New Roman" w:hAnsi="Times New Roman" w:cs="Times New Roman"/>
          <w:sz w:val="24"/>
          <w:szCs w:val="24"/>
        </w:rPr>
      </w:pPr>
      <w:r>
        <w:rPr>
          <w:rFonts w:ascii="Times New Roman" w:hAnsi="Times New Roman" w:cs="Times New Roman"/>
          <w:sz w:val="24"/>
          <w:szCs w:val="24"/>
        </w:rPr>
        <w:t>Если его стоимость не превышает установленного лимита, то актив не признается, а капитальные вложения на приобретение, создание такого актива отражаются в составе расходов периода, в котором они завершены.</w:t>
      </w:r>
    </w:p>
    <w:p>
      <w:pPr>
        <w:pStyle w:val="44"/>
        <w:rPr>
          <w:rFonts w:ascii="Times New Roman" w:hAnsi="Times New Roman" w:cs="Times New Roman"/>
          <w:sz w:val="24"/>
          <w:szCs w:val="24"/>
        </w:rPr>
      </w:pPr>
      <w:r>
        <w:rPr>
          <w:rFonts w:ascii="Times New Roman" w:hAnsi="Times New Roman" w:cs="Times New Roman"/>
          <w:sz w:val="24"/>
          <w:szCs w:val="24"/>
        </w:rPr>
        <w:t>В целях контроля за наличием и движением таких активов их учет ведется на отдельном забалансовом счете.</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7 ФСБУ 14/2022)</w:t>
      </w:r>
    </w:p>
    <w:p>
      <w:pPr>
        <w:pStyle w:val="44"/>
        <w:rPr>
          <w:rFonts w:ascii="Times New Roman" w:hAnsi="Times New Roman" w:cs="Times New Roman"/>
          <w:sz w:val="24"/>
          <w:szCs w:val="24"/>
        </w:rPr>
      </w:pPr>
      <w:r>
        <w:rPr>
          <w:rFonts w:ascii="Times New Roman" w:hAnsi="Times New Roman" w:cs="Times New Roman"/>
          <w:sz w:val="24"/>
          <w:szCs w:val="24"/>
        </w:rPr>
        <w:t>В целях контроля за наличием и движением результатов интеллектуальной деятельности и средствами индивидуализации, на которые у организации имеются исключительные права, но которые не соответствуют критериям п. 4 ФСБУ 14/2022 для признания в качестве НМА, их учет ведется на отдельном забалансовом счете.</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9 ФСБУ 14/2022)</w:t>
      </w:r>
    </w:p>
    <w:p>
      <w:pPr>
        <w:pStyle w:val="44"/>
        <w:rPr>
          <w:rFonts w:ascii="Times New Roman" w:hAnsi="Times New Roman" w:cs="Times New Roman"/>
          <w:sz w:val="24"/>
          <w:szCs w:val="24"/>
        </w:rPr>
      </w:pPr>
      <w:r>
        <w:rPr>
          <w:rFonts w:ascii="Times New Roman" w:hAnsi="Times New Roman" w:cs="Times New Roman"/>
          <w:sz w:val="24"/>
          <w:szCs w:val="24"/>
        </w:rPr>
        <w:t>3.1.2. Для целей бухгалтерского учета НМА классифицируются по видам:</w:t>
      </w:r>
    </w:p>
    <w:p>
      <w:pPr>
        <w:pStyle w:val="44"/>
        <w:rPr>
          <w:rFonts w:ascii="Times New Roman" w:hAnsi="Times New Roman" w:cs="Times New Roman"/>
          <w:sz w:val="24"/>
          <w:szCs w:val="24"/>
        </w:rPr>
      </w:pPr>
      <w:r>
        <w:rPr>
          <w:rFonts w:ascii="Times New Roman" w:hAnsi="Times New Roman" w:cs="Times New Roman"/>
          <w:sz w:val="24"/>
          <w:szCs w:val="24"/>
        </w:rPr>
        <w:t>- программы для электронных вычислительных машин;</w:t>
      </w:r>
    </w:p>
    <w:p>
      <w:pPr>
        <w:pStyle w:val="44"/>
        <w:rPr>
          <w:rFonts w:ascii="Times New Roman" w:hAnsi="Times New Roman" w:cs="Times New Roman"/>
          <w:sz w:val="24"/>
          <w:szCs w:val="24"/>
        </w:rPr>
      </w:pPr>
      <w:r>
        <w:rPr>
          <w:rFonts w:ascii="Times New Roman" w:hAnsi="Times New Roman" w:cs="Times New Roman"/>
          <w:sz w:val="24"/>
          <w:szCs w:val="24"/>
        </w:rPr>
        <w:t>- базы данных;</w:t>
      </w:r>
    </w:p>
    <w:p>
      <w:pPr>
        <w:pStyle w:val="44"/>
        <w:rPr>
          <w:rFonts w:ascii="Times New Roman" w:hAnsi="Times New Roman" w:cs="Times New Roman"/>
          <w:sz w:val="24"/>
          <w:szCs w:val="24"/>
        </w:rPr>
      </w:pPr>
      <w:r>
        <w:rPr>
          <w:rFonts w:ascii="Times New Roman" w:hAnsi="Times New Roman" w:cs="Times New Roman"/>
          <w:sz w:val="24"/>
          <w:szCs w:val="24"/>
        </w:rPr>
        <w:t>- промышленные образцы;</w:t>
      </w:r>
    </w:p>
    <w:p>
      <w:pPr>
        <w:pStyle w:val="44"/>
        <w:rPr>
          <w:rFonts w:ascii="Times New Roman" w:hAnsi="Times New Roman" w:cs="Times New Roman"/>
          <w:sz w:val="24"/>
          <w:szCs w:val="24"/>
        </w:rPr>
      </w:pPr>
      <w:r>
        <w:rPr>
          <w:rFonts w:ascii="Times New Roman" w:hAnsi="Times New Roman" w:cs="Times New Roman"/>
          <w:sz w:val="24"/>
          <w:szCs w:val="24"/>
        </w:rPr>
        <w:t>- лицензии и разрешения.</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12 ФСБУ 14/2022)</w:t>
      </w:r>
    </w:p>
    <w:p>
      <w:pPr>
        <w:pStyle w:val="44"/>
        <w:rPr>
          <w:rFonts w:ascii="Times New Roman" w:hAnsi="Times New Roman" w:cs="Times New Roman"/>
          <w:sz w:val="24"/>
          <w:szCs w:val="24"/>
        </w:rPr>
      </w:pPr>
      <w:r>
        <w:rPr>
          <w:rFonts w:ascii="Times New Roman" w:hAnsi="Times New Roman" w:cs="Times New Roman"/>
          <w:sz w:val="24"/>
          <w:szCs w:val="24"/>
        </w:rPr>
        <w:t>Устанавливаются следующие группы НМА:</w:t>
      </w:r>
    </w:p>
    <w:p>
      <w:pPr>
        <w:pStyle w:val="44"/>
        <w:rPr>
          <w:rFonts w:ascii="Times New Roman" w:hAnsi="Times New Roman" w:cs="Times New Roman"/>
          <w:sz w:val="24"/>
          <w:szCs w:val="24"/>
        </w:rPr>
      </w:pPr>
      <w:r>
        <w:rPr>
          <w:rFonts w:ascii="Times New Roman" w:hAnsi="Times New Roman" w:cs="Times New Roman"/>
          <w:sz w:val="24"/>
          <w:szCs w:val="24"/>
        </w:rPr>
        <w:t>- компьютерное программное обеспечение;</w:t>
      </w:r>
    </w:p>
    <w:p>
      <w:pPr>
        <w:pStyle w:val="44"/>
        <w:rPr>
          <w:rFonts w:ascii="Times New Roman" w:hAnsi="Times New Roman" w:cs="Times New Roman"/>
          <w:sz w:val="24"/>
          <w:szCs w:val="24"/>
        </w:rPr>
      </w:pPr>
      <w:r>
        <w:rPr>
          <w:rFonts w:ascii="Times New Roman" w:hAnsi="Times New Roman" w:cs="Times New Roman"/>
          <w:sz w:val="24"/>
          <w:szCs w:val="24"/>
        </w:rPr>
        <w:t>- базы данных;</w:t>
      </w:r>
    </w:p>
    <w:p>
      <w:pPr>
        <w:pStyle w:val="44"/>
        <w:rPr>
          <w:rFonts w:ascii="Times New Roman" w:hAnsi="Times New Roman" w:cs="Times New Roman"/>
          <w:sz w:val="24"/>
          <w:szCs w:val="24"/>
        </w:rPr>
      </w:pPr>
      <w:r>
        <w:rPr>
          <w:rFonts w:ascii="Times New Roman" w:hAnsi="Times New Roman" w:cs="Times New Roman"/>
          <w:sz w:val="24"/>
          <w:szCs w:val="24"/>
        </w:rPr>
        <w:t>- лицензии;</w:t>
      </w:r>
    </w:p>
    <w:p>
      <w:pPr>
        <w:pStyle w:val="44"/>
        <w:rPr>
          <w:rFonts w:ascii="Times New Roman" w:hAnsi="Times New Roman" w:cs="Times New Roman"/>
          <w:sz w:val="24"/>
          <w:szCs w:val="24"/>
        </w:rPr>
      </w:pPr>
      <w:r>
        <w:rPr>
          <w:rFonts w:ascii="Times New Roman" w:hAnsi="Times New Roman" w:cs="Times New Roman"/>
          <w:sz w:val="24"/>
          <w:szCs w:val="24"/>
        </w:rPr>
        <w:t>- рецепты.</w:t>
      </w:r>
    </w:p>
    <w:p>
      <w:pPr>
        <w:pStyle w:val="44"/>
        <w:rPr>
          <w:rFonts w:ascii="Times New Roman" w:hAnsi="Times New Roman" w:cs="Times New Roman"/>
          <w:sz w:val="24"/>
          <w:szCs w:val="24"/>
        </w:rPr>
      </w:pPr>
      <w:r>
        <w:rPr>
          <w:rFonts w:ascii="Times New Roman" w:hAnsi="Times New Roman" w:cs="Times New Roman"/>
          <w:sz w:val="24"/>
          <w:szCs w:val="24"/>
        </w:rPr>
        <w:t>В отношении прочих видов НМА все объекты одного вида включаются в одну группу.</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12 ФСБУ 14/2022)</w:t>
      </w:r>
    </w:p>
    <w:p>
      <w:pPr>
        <w:pStyle w:val="44"/>
        <w:rPr>
          <w:rFonts w:ascii="Times New Roman" w:hAnsi="Times New Roman" w:cs="Times New Roman"/>
          <w:sz w:val="24"/>
          <w:szCs w:val="24"/>
        </w:rPr>
      </w:pPr>
      <w:r>
        <w:rPr>
          <w:rFonts w:ascii="Times New Roman" w:hAnsi="Times New Roman" w:cs="Times New Roman"/>
          <w:sz w:val="24"/>
          <w:szCs w:val="24"/>
        </w:rPr>
        <w:t>3.1.3. Материальный носитель, в котором выражены результаты интеллектуальной деятельности, средства индивидуализации, учитывается в составе соответствующего объекта НМА. Фактические затраты на его приобретение (создание) включаются в первоначальную стоимость НМА.</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14 ФСБУ 14/2022)</w:t>
      </w:r>
    </w:p>
    <w:p>
      <w:pPr>
        <w:pStyle w:val="44"/>
        <w:rPr>
          <w:rFonts w:ascii="Times New Roman" w:hAnsi="Times New Roman" w:cs="Times New Roman"/>
          <w:sz w:val="24"/>
          <w:szCs w:val="24"/>
        </w:rPr>
      </w:pPr>
      <w:r>
        <w:rPr>
          <w:rFonts w:ascii="Times New Roman" w:hAnsi="Times New Roman" w:cs="Times New Roman"/>
          <w:sz w:val="24"/>
          <w:szCs w:val="24"/>
        </w:rPr>
        <w:t>3.2. Переоценка и обесценение НМА.</w:t>
      </w:r>
    </w:p>
    <w:p>
      <w:pPr>
        <w:pStyle w:val="44"/>
        <w:rPr>
          <w:rFonts w:ascii="Times New Roman" w:hAnsi="Times New Roman" w:cs="Times New Roman"/>
          <w:sz w:val="24"/>
          <w:szCs w:val="24"/>
        </w:rPr>
      </w:pPr>
      <w:r>
        <w:rPr>
          <w:rFonts w:ascii="Times New Roman" w:hAnsi="Times New Roman" w:cs="Times New Roman"/>
          <w:sz w:val="24"/>
          <w:szCs w:val="24"/>
        </w:rPr>
        <w:t>3.2.1. Все объекты НМА после признания оцениваются по первоначальной стоимости.</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15 ФСБУ 14/2022)</w:t>
      </w:r>
    </w:p>
    <w:p>
      <w:pPr>
        <w:pStyle w:val="44"/>
        <w:rPr>
          <w:rFonts w:ascii="Times New Roman" w:hAnsi="Times New Roman" w:cs="Times New Roman"/>
          <w:sz w:val="24"/>
          <w:szCs w:val="24"/>
        </w:rPr>
      </w:pPr>
      <w:r>
        <w:rPr>
          <w:rFonts w:ascii="Times New Roman" w:hAnsi="Times New Roman" w:cs="Times New Roman"/>
          <w:sz w:val="24"/>
          <w:szCs w:val="24"/>
        </w:rPr>
        <w:t>3.2.2. НМА с неопределенным сроком полезного использования или НМА, который еще не готов к использованию (капитальные вложения), тестируется на обесценение независимо от наличия признаков обесценения. Тестирование проводится ежегодно путем сравнения его балансовой стоимости с возмещаемой суммой в срок с 1 по 10 декабря отчетного года.</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43 ФСБУ 14/2022, п. 17 ФСБУ 26/2020, пп. "а" п. 10, п. 11 МСФО (IAS) 36 "Обесценение активов")</w:t>
      </w:r>
    </w:p>
    <w:p>
      <w:pPr>
        <w:pStyle w:val="44"/>
        <w:rPr>
          <w:rFonts w:ascii="Times New Roman" w:hAnsi="Times New Roman" w:cs="Times New Roman"/>
          <w:sz w:val="24"/>
          <w:szCs w:val="24"/>
        </w:rPr>
      </w:pPr>
      <w:r>
        <w:rPr>
          <w:rFonts w:ascii="Times New Roman" w:hAnsi="Times New Roman" w:cs="Times New Roman"/>
          <w:sz w:val="24"/>
          <w:szCs w:val="24"/>
        </w:rPr>
        <w:t>3.3. Амортизация НМА.</w:t>
      </w:r>
    </w:p>
    <w:p>
      <w:pPr>
        <w:pStyle w:val="44"/>
        <w:rPr>
          <w:rFonts w:ascii="Times New Roman" w:hAnsi="Times New Roman" w:cs="Times New Roman"/>
          <w:sz w:val="24"/>
          <w:szCs w:val="24"/>
        </w:rPr>
      </w:pPr>
      <w:r>
        <w:rPr>
          <w:rFonts w:ascii="Times New Roman" w:hAnsi="Times New Roman" w:cs="Times New Roman"/>
          <w:sz w:val="24"/>
          <w:szCs w:val="24"/>
        </w:rPr>
        <w:t>3.3.1. Срок полезного использования объектов НМА устанавливается исходя из периода времени, в течение которого организация ожидает получать экономическую выгоду от их использования.</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30 ФСБУ 14/2022)</w:t>
      </w:r>
    </w:p>
    <w:p>
      <w:pPr>
        <w:pStyle w:val="44"/>
        <w:rPr>
          <w:rFonts w:ascii="Times New Roman" w:hAnsi="Times New Roman" w:cs="Times New Roman"/>
          <w:sz w:val="24"/>
          <w:szCs w:val="24"/>
        </w:rPr>
      </w:pPr>
      <w:r>
        <w:rPr>
          <w:rFonts w:ascii="Times New Roman" w:hAnsi="Times New Roman" w:cs="Times New Roman"/>
          <w:sz w:val="24"/>
          <w:szCs w:val="24"/>
        </w:rPr>
        <w:t>3.3.2. Амортизация НМА начинает начисляться с первого числа месяца, следующего за месяцем признания в учете объекта НМА, и прекращает начисляться с первого числа месяца, следующего за месяцем его списания.</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38 ФСБУ 14/2022)</w:t>
      </w:r>
    </w:p>
    <w:p>
      <w:pPr>
        <w:pStyle w:val="44"/>
        <w:rPr>
          <w:rFonts w:ascii="Times New Roman" w:hAnsi="Times New Roman" w:cs="Times New Roman"/>
          <w:sz w:val="24"/>
          <w:szCs w:val="24"/>
        </w:rPr>
      </w:pPr>
      <w:r>
        <w:rPr>
          <w:rFonts w:ascii="Times New Roman" w:hAnsi="Times New Roman" w:cs="Times New Roman"/>
          <w:sz w:val="24"/>
          <w:szCs w:val="24"/>
        </w:rPr>
        <w:t>3.3.3. Изменение продолжительности периода, в течение которого организация предполагает использовать актив, признается существенным, если разница между текущим сроком полезного использования и предполагаемым составляет не менее 10% от величины текущего срока. Срок полезного использования таких объектов НМА подлежит уточнению.</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42 ФСБУ 14/2022)</w:t>
      </w:r>
    </w:p>
    <w:p>
      <w:pPr>
        <w:pStyle w:val="44"/>
        <w:rPr>
          <w:rFonts w:ascii="Times New Roman" w:hAnsi="Times New Roman" w:cs="Times New Roman"/>
          <w:sz w:val="24"/>
          <w:szCs w:val="24"/>
        </w:rPr>
      </w:pPr>
      <w:r>
        <w:rPr>
          <w:rFonts w:ascii="Times New Roman" w:hAnsi="Times New Roman" w:cs="Times New Roman"/>
          <w:sz w:val="24"/>
          <w:szCs w:val="24"/>
        </w:rPr>
        <w:t>3.3.4. При принятии к бухгалтерскому учету НМА с определенным сроком полезного использования организация выбирает способ начисления амортизации исходя из расчета ожидаемого поступления будущих экономических выгод от его использования, принимая во внимание следующее: все группы НМА амортизируются линейным способом.</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39 ФСБУ 14/2022)</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4. Учетная политика. Сырье и материалы</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сырья и материалов (далее - материалы) ведется в соответствии с Федеральным стандартом бухгалтерского учета ФСБУ 5/2019 "Запасы", утвержденным Приказом Минфина России от 15.11.2019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180н.</w:t>
      </w:r>
    </w:p>
    <w:p>
      <w:pPr>
        <w:pStyle w:val="44"/>
        <w:rPr>
          <w:rFonts w:ascii="Times New Roman" w:hAnsi="Times New Roman" w:cs="Times New Roman"/>
          <w:sz w:val="24"/>
          <w:szCs w:val="24"/>
        </w:rPr>
      </w:pPr>
      <w:r>
        <w:rPr>
          <w:rFonts w:ascii="Times New Roman" w:hAnsi="Times New Roman" w:cs="Times New Roman"/>
          <w:sz w:val="24"/>
          <w:szCs w:val="24"/>
        </w:rPr>
        <w:t>4.1. Учет приобретения материалов.</w:t>
      </w:r>
    </w:p>
    <w:p>
      <w:pPr>
        <w:pStyle w:val="44"/>
        <w:rPr>
          <w:rFonts w:ascii="Times New Roman" w:hAnsi="Times New Roman" w:cs="Times New Roman"/>
          <w:sz w:val="24"/>
          <w:szCs w:val="24"/>
        </w:rPr>
      </w:pPr>
      <w:r>
        <w:rPr>
          <w:rFonts w:ascii="Times New Roman" w:hAnsi="Times New Roman" w:cs="Times New Roman"/>
          <w:sz w:val="24"/>
          <w:szCs w:val="24"/>
        </w:rPr>
        <w:t>4.1.1. Затраты на приобретение материалов, включая транспортно-заготовительные расходы (ТЗР), отражаются непосредственно на счете 10 "Материалы", формируя фактическую себестоимость материалов. Счета 15 "Заготовление и приобретение материальных ценностей" и 16 "Отклонение в стоимости материальных ценностей" не используются, учетные цены не применяются.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9 ФСБУ 5/2019, Инструкция по применению Плана счетов)</w:t>
      </w:r>
    </w:p>
    <w:p>
      <w:pPr>
        <w:pStyle w:val="44"/>
        <w:rPr>
          <w:rFonts w:ascii="Times New Roman" w:hAnsi="Times New Roman" w:cs="Times New Roman"/>
          <w:sz w:val="24"/>
          <w:szCs w:val="24"/>
        </w:rPr>
      </w:pPr>
      <w:r>
        <w:rPr>
          <w:rFonts w:ascii="Times New Roman" w:hAnsi="Times New Roman" w:cs="Times New Roman"/>
          <w:sz w:val="24"/>
          <w:szCs w:val="24"/>
        </w:rPr>
        <w:t>4.1.2. ТЗР, понесенные в связи с приобретением материалов с разными наименованиями, распределяются пропорционально стоимости приобретения этих материалов.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7.1 ПБУ 1/2008)</w:t>
      </w:r>
    </w:p>
    <w:p>
      <w:pPr>
        <w:pStyle w:val="44"/>
        <w:rPr>
          <w:rFonts w:ascii="Times New Roman" w:hAnsi="Times New Roman" w:cs="Times New Roman"/>
          <w:sz w:val="24"/>
          <w:szCs w:val="24"/>
        </w:rPr>
      </w:pPr>
      <w:r>
        <w:rPr>
          <w:rFonts w:ascii="Times New Roman" w:hAnsi="Times New Roman" w:cs="Times New Roman"/>
          <w:sz w:val="24"/>
          <w:szCs w:val="24"/>
        </w:rPr>
        <w:t>4.1.3. Единицей бухгалтерского учета материалов является номенклатурный номер.</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6 ФСБУ 5/2019)</w:t>
      </w:r>
    </w:p>
    <w:p>
      <w:pPr>
        <w:pStyle w:val="44"/>
        <w:rPr>
          <w:rFonts w:ascii="Times New Roman" w:hAnsi="Times New Roman" w:cs="Times New Roman"/>
          <w:sz w:val="24"/>
          <w:szCs w:val="24"/>
        </w:rPr>
      </w:pPr>
      <w:r>
        <w:rPr>
          <w:rFonts w:ascii="Times New Roman" w:hAnsi="Times New Roman" w:cs="Times New Roman"/>
          <w:sz w:val="24"/>
          <w:szCs w:val="24"/>
        </w:rPr>
        <w:t>4.2. Учет списания материалов.</w:t>
      </w:r>
    </w:p>
    <w:p>
      <w:pPr>
        <w:pStyle w:val="44"/>
        <w:rPr>
          <w:rFonts w:ascii="Times New Roman" w:hAnsi="Times New Roman" w:cs="Times New Roman"/>
          <w:sz w:val="24"/>
          <w:szCs w:val="24"/>
        </w:rPr>
      </w:pPr>
      <w:r>
        <w:rPr>
          <w:rFonts w:ascii="Times New Roman" w:hAnsi="Times New Roman" w:cs="Times New Roman"/>
          <w:sz w:val="24"/>
          <w:szCs w:val="24"/>
        </w:rPr>
        <w:t>4.2.1. При отпуске материалов в производство и ином выбытии их оценка производится организацией по средней себестоимости. Последняя определяется исходя из средней за период фактической себестоимости (взвешенная оценка), в расчет которой включаются количество и стоимость материалов на начало периода и все поступления за период. В качестве расчетного периода установлен месяц.</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"б" п. 36, п. 39 ФСБУ 5/2019)</w:t>
      </w:r>
    </w:p>
    <w:p>
      <w:pPr>
        <w:pStyle w:val="44"/>
        <w:rPr>
          <w:rFonts w:ascii="Times New Roman" w:hAnsi="Times New Roman" w:cs="Times New Roman"/>
          <w:sz w:val="24"/>
          <w:szCs w:val="24"/>
        </w:rPr>
      </w:pPr>
      <w:r>
        <w:rPr>
          <w:rFonts w:ascii="Times New Roman" w:hAnsi="Times New Roman" w:cs="Times New Roman"/>
          <w:sz w:val="24"/>
          <w:szCs w:val="24"/>
        </w:rPr>
        <w:t>4.2.2. Для обеспечения контроля за сохранностью инструментов, инвентаря, спецодежды, спецоснастки, тары и т.д. стоимость таких материалов после их передачи в производство (эксплуатацию) принимается на забалансовый учет.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8 ФСБУ 5/2019)</w:t>
      </w:r>
    </w:p>
    <w:p>
      <w:pPr>
        <w:pStyle w:val="44"/>
        <w:rPr>
          <w:rFonts w:ascii="Times New Roman" w:hAnsi="Times New Roman" w:cs="Times New Roman"/>
          <w:sz w:val="24"/>
          <w:szCs w:val="24"/>
        </w:rPr>
      </w:pPr>
      <w:r>
        <w:rPr>
          <w:rFonts w:ascii="Times New Roman" w:hAnsi="Times New Roman" w:cs="Times New Roman"/>
          <w:sz w:val="24"/>
          <w:szCs w:val="24"/>
        </w:rPr>
        <w:t>4.3. Учет тары и тарных материалов.</w:t>
      </w:r>
    </w:p>
    <w:p>
      <w:pPr>
        <w:pStyle w:val="44"/>
        <w:rPr>
          <w:rFonts w:ascii="Times New Roman" w:hAnsi="Times New Roman" w:cs="Times New Roman"/>
          <w:sz w:val="24"/>
          <w:szCs w:val="24"/>
        </w:rPr>
      </w:pPr>
      <w:r>
        <w:rPr>
          <w:rFonts w:ascii="Times New Roman" w:hAnsi="Times New Roman" w:cs="Times New Roman"/>
          <w:sz w:val="24"/>
          <w:szCs w:val="24"/>
        </w:rPr>
        <w:t>4.3.1. Тара и тарные материалы учитываются по фактической себестоимости на счете 10 "Материалы", субсчет "Тара и тарные материалы", учетные цены не применяются.</w:t>
      </w:r>
    </w:p>
    <w:p>
      <w:pPr>
        <w:pStyle w:val="44"/>
        <w:rPr>
          <w:rFonts w:ascii="Times New Roman" w:hAnsi="Times New Roman" w:cs="Times New Roman"/>
          <w:sz w:val="24"/>
          <w:szCs w:val="24"/>
        </w:rPr>
      </w:pPr>
      <w:r>
        <w:rPr>
          <w:rFonts w:ascii="Times New Roman" w:hAnsi="Times New Roman" w:cs="Times New Roman"/>
          <w:sz w:val="24"/>
          <w:szCs w:val="24"/>
        </w:rPr>
        <w:t>4.3.2. Полученная от поставщика многооборотная залоговая тара, подлежащая возврату, учитывается на забалансовом счете 002 "Товарно-материальные ценности, принятые на ответственное хранение" по залоговой цене. Залоговая стоимость тары, уплаченная поставщику, отражается по дебету счета учета расчетов.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"б" п. 4 ФСБУ 5/2019, Инструкция по применению Плана счетов)</w:t>
      </w:r>
    </w:p>
    <w:p>
      <w:pPr>
        <w:pStyle w:val="44"/>
        <w:rPr>
          <w:rFonts w:ascii="Times New Roman" w:hAnsi="Times New Roman" w:cs="Times New Roman"/>
          <w:sz w:val="24"/>
          <w:szCs w:val="24"/>
        </w:rPr>
      </w:pPr>
      <w:r>
        <w:rPr>
          <w:rFonts w:ascii="Times New Roman" w:hAnsi="Times New Roman" w:cs="Times New Roman"/>
          <w:sz w:val="24"/>
          <w:szCs w:val="24"/>
        </w:rPr>
        <w:t>4.4. Долгосрочные активы к продаже отражаются в учете на счете 41 "Товары" с обособлением в аналитическом учете. Обособление осуществляется путем отражения таких активов на отдельном субсчете, открытом к этому счету и предусмотренном рабочим планом счетов организации.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ПБУ 1/2008, п. 10.1 ПБУ 16/02)</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5. Учетная политика. Учет затрат. Незавершенное производство</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5.1. В составе общехозяйственных расходов учитываются расходы для нужд управления, не связанные непосредственно с производственным процессом, а именно:</w:t>
      </w:r>
    </w:p>
    <w:p>
      <w:pPr>
        <w:pStyle w:val="44"/>
        <w:rPr>
          <w:rFonts w:ascii="Times New Roman" w:hAnsi="Times New Roman" w:cs="Times New Roman"/>
          <w:sz w:val="24"/>
          <w:szCs w:val="24"/>
        </w:rPr>
      </w:pPr>
      <w:r>
        <w:rPr>
          <w:rFonts w:ascii="Times New Roman" w:hAnsi="Times New Roman" w:cs="Times New Roman"/>
          <w:sz w:val="24"/>
          <w:szCs w:val="24"/>
        </w:rPr>
        <w:t>- заработная плата управленческого персонала и начисленные на нее страховые взносы;</w:t>
      </w:r>
    </w:p>
    <w:p>
      <w:pPr>
        <w:pStyle w:val="44"/>
        <w:rPr>
          <w:rFonts w:ascii="Times New Roman" w:hAnsi="Times New Roman" w:cs="Times New Roman"/>
          <w:sz w:val="24"/>
          <w:szCs w:val="24"/>
        </w:rPr>
      </w:pPr>
      <w:r>
        <w:rPr>
          <w:rFonts w:ascii="Times New Roman" w:hAnsi="Times New Roman" w:cs="Times New Roman"/>
          <w:sz w:val="24"/>
          <w:szCs w:val="24"/>
        </w:rPr>
        <w:t>- затраты на аренду помещений общехозяйственного назначения;</w:t>
      </w:r>
    </w:p>
    <w:p>
      <w:pPr>
        <w:pStyle w:val="44"/>
        <w:rPr>
          <w:rFonts w:ascii="Times New Roman" w:hAnsi="Times New Roman" w:cs="Times New Roman"/>
          <w:sz w:val="24"/>
          <w:szCs w:val="24"/>
        </w:rPr>
      </w:pPr>
      <w:r>
        <w:rPr>
          <w:rFonts w:ascii="Times New Roman" w:hAnsi="Times New Roman" w:cs="Times New Roman"/>
          <w:sz w:val="24"/>
          <w:szCs w:val="24"/>
        </w:rPr>
        <w:t>- стоимость информационных, аудиторских, консультационных и аналогичных услуг;</w:t>
      </w:r>
    </w:p>
    <w:p>
      <w:pPr>
        <w:pStyle w:val="44"/>
        <w:rPr>
          <w:rFonts w:ascii="Times New Roman" w:hAnsi="Times New Roman" w:cs="Times New Roman"/>
          <w:sz w:val="24"/>
          <w:szCs w:val="24"/>
        </w:rPr>
      </w:pPr>
      <w:r>
        <w:rPr>
          <w:rFonts w:ascii="Times New Roman" w:hAnsi="Times New Roman" w:cs="Times New Roman"/>
          <w:sz w:val="24"/>
          <w:szCs w:val="24"/>
        </w:rPr>
        <w:t>- амортизация основных средств управленческого и общехозяйственного назначения и расходы на их ремонт;</w:t>
      </w:r>
    </w:p>
    <w:p>
      <w:pPr>
        <w:pStyle w:val="44"/>
        <w:rPr>
          <w:rFonts w:ascii="Times New Roman" w:hAnsi="Times New Roman" w:cs="Times New Roman"/>
          <w:sz w:val="24"/>
          <w:szCs w:val="24"/>
        </w:rPr>
      </w:pPr>
      <w:r>
        <w:rPr>
          <w:rFonts w:ascii="Times New Roman" w:hAnsi="Times New Roman" w:cs="Times New Roman"/>
          <w:sz w:val="24"/>
          <w:szCs w:val="24"/>
        </w:rPr>
        <w:t>- другие аналогичные по назначению управленческие расходы.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Инструкция по применению Плана счетов (пояснения к счету 26))</w:t>
      </w:r>
    </w:p>
    <w:p>
      <w:pPr>
        <w:pStyle w:val="44"/>
        <w:rPr>
          <w:rFonts w:ascii="Times New Roman" w:hAnsi="Times New Roman" w:cs="Times New Roman"/>
          <w:sz w:val="24"/>
          <w:szCs w:val="24"/>
        </w:rPr>
      </w:pPr>
      <w:r>
        <w:rPr>
          <w:rFonts w:ascii="Times New Roman" w:hAnsi="Times New Roman" w:cs="Times New Roman"/>
          <w:sz w:val="24"/>
          <w:szCs w:val="24"/>
        </w:rPr>
        <w:t>5.2. Управленческие расходы, накопленные на счете 26 "Общехозяйственные расходы", на конец каждого отчетного периода списываются на финансовый результат (относятся в дебет счета 90 "Продажи" в качестве условно-постоянных).</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9 ПБУ 10/99, Инструкция по применению Плана счетов (пояснения к счету 26), пп. "г" п. 26 ФСБУ 5/2019)</w:t>
      </w:r>
    </w:p>
    <w:p>
      <w:pPr>
        <w:pStyle w:val="44"/>
        <w:rPr>
          <w:rFonts w:ascii="Times New Roman" w:hAnsi="Times New Roman" w:cs="Times New Roman"/>
          <w:sz w:val="24"/>
          <w:szCs w:val="24"/>
        </w:rPr>
      </w:pPr>
      <w:r>
        <w:rPr>
          <w:rFonts w:ascii="Times New Roman" w:hAnsi="Times New Roman" w:cs="Times New Roman"/>
          <w:sz w:val="24"/>
          <w:szCs w:val="24"/>
        </w:rPr>
        <w:t>5.3. На счете 25 "Общепроизводственные расходы" отражаются расходы по обслуживанию производства, а именно:</w:t>
      </w:r>
    </w:p>
    <w:p>
      <w:pPr>
        <w:pStyle w:val="44"/>
        <w:rPr>
          <w:rFonts w:ascii="Times New Roman" w:hAnsi="Times New Roman" w:cs="Times New Roman"/>
          <w:sz w:val="24"/>
          <w:szCs w:val="24"/>
        </w:rPr>
      </w:pPr>
      <w:r>
        <w:rPr>
          <w:rFonts w:ascii="Times New Roman" w:hAnsi="Times New Roman" w:cs="Times New Roman"/>
          <w:sz w:val="24"/>
          <w:szCs w:val="24"/>
        </w:rPr>
        <w:t>- расходы по содержанию и эксплуатации машин и оборудования;</w:t>
      </w:r>
    </w:p>
    <w:p>
      <w:pPr>
        <w:pStyle w:val="44"/>
        <w:rPr>
          <w:rFonts w:ascii="Times New Roman" w:hAnsi="Times New Roman" w:cs="Times New Roman"/>
          <w:sz w:val="24"/>
          <w:szCs w:val="24"/>
        </w:rPr>
      </w:pPr>
      <w:r>
        <w:rPr>
          <w:rFonts w:ascii="Times New Roman" w:hAnsi="Times New Roman" w:cs="Times New Roman"/>
          <w:sz w:val="24"/>
          <w:szCs w:val="24"/>
        </w:rPr>
        <w:t>- затраты на аренду производственных помещений;</w:t>
      </w:r>
    </w:p>
    <w:p>
      <w:pPr>
        <w:pStyle w:val="44"/>
        <w:rPr>
          <w:rFonts w:ascii="Times New Roman" w:hAnsi="Times New Roman" w:cs="Times New Roman"/>
          <w:sz w:val="24"/>
          <w:szCs w:val="24"/>
        </w:rPr>
      </w:pPr>
      <w:r>
        <w:rPr>
          <w:rFonts w:ascii="Times New Roman" w:hAnsi="Times New Roman" w:cs="Times New Roman"/>
          <w:sz w:val="24"/>
          <w:szCs w:val="24"/>
        </w:rPr>
        <w:t>- расходы на содержание производственных помещений;</w:t>
      </w:r>
    </w:p>
    <w:p>
      <w:pPr>
        <w:pStyle w:val="44"/>
        <w:rPr>
          <w:rFonts w:ascii="Times New Roman" w:hAnsi="Times New Roman" w:cs="Times New Roman"/>
          <w:sz w:val="24"/>
          <w:szCs w:val="24"/>
        </w:rPr>
      </w:pPr>
      <w:r>
        <w:rPr>
          <w:rFonts w:ascii="Times New Roman" w:hAnsi="Times New Roman" w:cs="Times New Roman"/>
          <w:sz w:val="24"/>
          <w:szCs w:val="24"/>
        </w:rPr>
        <w:t>- оплата труда работников, занятых обслуживанием производства, и начисленные на нее страховые взносы;</w:t>
      </w:r>
    </w:p>
    <w:p>
      <w:pPr>
        <w:pStyle w:val="44"/>
        <w:rPr>
          <w:rFonts w:ascii="Times New Roman" w:hAnsi="Times New Roman" w:cs="Times New Roman"/>
          <w:sz w:val="24"/>
          <w:szCs w:val="24"/>
        </w:rPr>
      </w:pPr>
      <w:r>
        <w:rPr>
          <w:rFonts w:ascii="Times New Roman" w:hAnsi="Times New Roman" w:cs="Times New Roman"/>
          <w:sz w:val="24"/>
          <w:szCs w:val="24"/>
        </w:rPr>
        <w:t>- электроэнергия, водоснабжение и водоотведение;</w:t>
      </w:r>
    </w:p>
    <w:p>
      <w:pPr>
        <w:pStyle w:val="44"/>
        <w:rPr>
          <w:rFonts w:ascii="Times New Roman" w:hAnsi="Times New Roman" w:cs="Times New Roman"/>
          <w:sz w:val="24"/>
          <w:szCs w:val="24"/>
        </w:rPr>
      </w:pPr>
      <w:r>
        <w:rPr>
          <w:rFonts w:ascii="Times New Roman" w:hAnsi="Times New Roman" w:cs="Times New Roman"/>
          <w:sz w:val="24"/>
          <w:szCs w:val="24"/>
        </w:rPr>
        <w:t>- другие расходы, связанные с обслуживанием производства.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Инструкция по применению Плана счетов (пояснения к счету 25))</w:t>
      </w:r>
    </w:p>
    <w:p>
      <w:pPr>
        <w:pStyle w:val="44"/>
        <w:rPr>
          <w:rFonts w:ascii="Times New Roman" w:hAnsi="Times New Roman" w:cs="Times New Roman"/>
          <w:sz w:val="24"/>
          <w:szCs w:val="24"/>
        </w:rPr>
      </w:pPr>
      <w:r>
        <w:rPr>
          <w:rFonts w:ascii="Times New Roman" w:hAnsi="Times New Roman" w:cs="Times New Roman"/>
          <w:sz w:val="24"/>
          <w:szCs w:val="24"/>
        </w:rPr>
        <w:t>5.4. В фактическую себестоимость незавершенного производства и готовой продукции не включаются затраты, возникшие в связи с ненадлежащей организацией производственного процесса (сверхнормативный расход сырья, материалов, энергии, труда, потери от простоев, брака, нарушений трудовой и технологической дисциплины). Такие затраты предварительно аккумулируются на счетах учета затрат на производство, обособляются в аналитическом учете (или определяются расчетным путем) и списываются на прочие расходы.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"а" п. 26 ФСБУ 5/2019, п. 11 ПБУ 10/99)</w:t>
      </w:r>
    </w:p>
    <w:p>
      <w:pPr>
        <w:pStyle w:val="44"/>
        <w:rPr>
          <w:rFonts w:ascii="Times New Roman" w:hAnsi="Times New Roman" w:cs="Times New Roman"/>
          <w:sz w:val="24"/>
          <w:szCs w:val="24"/>
        </w:rPr>
      </w:pPr>
      <w:r>
        <w:rPr>
          <w:rFonts w:ascii="Times New Roman" w:hAnsi="Times New Roman" w:cs="Times New Roman"/>
          <w:sz w:val="24"/>
          <w:szCs w:val="24"/>
        </w:rPr>
        <w:t>5.5. Общепроизводственные расходы, учитываемые на счете 25 "Общепроизводственные расходы", относятся на себестоимость конкретного продукта труда пропорционально прямым материальным затратам на его производство.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25 ФСБУ 5/2019, Инструкция по применению Плана счетов (пояснения к счету 25))</w:t>
      </w:r>
    </w:p>
    <w:p>
      <w:pPr>
        <w:pStyle w:val="44"/>
        <w:rPr>
          <w:rFonts w:ascii="Times New Roman" w:hAnsi="Times New Roman" w:cs="Times New Roman"/>
          <w:sz w:val="24"/>
          <w:szCs w:val="24"/>
        </w:rPr>
      </w:pPr>
      <w:r>
        <w:rPr>
          <w:rFonts w:ascii="Times New Roman" w:hAnsi="Times New Roman" w:cs="Times New Roman"/>
          <w:sz w:val="24"/>
          <w:szCs w:val="24"/>
        </w:rPr>
        <w:t>5.6. Расходы на обслуживание вспомогательных производств учитываются непосредственно на счете 23 "Вспомогательные производства" без предварительного накапливания на счете 25 "Общепроизводственные расходы".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Инструкция по применению Плана счетов (пояснения к счету 23))</w:t>
      </w:r>
    </w:p>
    <w:p>
      <w:pPr>
        <w:pStyle w:val="44"/>
        <w:rPr>
          <w:rFonts w:ascii="Times New Roman" w:hAnsi="Times New Roman" w:cs="Times New Roman"/>
          <w:sz w:val="24"/>
          <w:szCs w:val="24"/>
        </w:rPr>
      </w:pPr>
      <w:r>
        <w:rPr>
          <w:rFonts w:ascii="Times New Roman" w:hAnsi="Times New Roman" w:cs="Times New Roman"/>
          <w:sz w:val="24"/>
          <w:szCs w:val="24"/>
        </w:rPr>
        <w:t>5.7. Расходы вспомогательных производств в виде затрат транспортного цеха (за исключением затрат, связанных с перевозкой готовой продукции покупателям, оказанием транспортных услуг третьим лицам по договорам поставки с указанием стоимости доставки, с доставкой сырья) относятся на себестоимость конкретного продукта труда пропорционально сумме понесенных в отчетном периоде прямых затрат на его производство.</w:t>
      </w:r>
    </w:p>
    <w:p>
      <w:pPr>
        <w:pStyle w:val="44"/>
        <w:rPr>
          <w:rFonts w:ascii="Times New Roman" w:hAnsi="Times New Roman" w:cs="Times New Roman"/>
          <w:sz w:val="24"/>
          <w:szCs w:val="24"/>
        </w:rPr>
      </w:pPr>
      <w:r>
        <w:rPr>
          <w:rFonts w:ascii="Times New Roman" w:hAnsi="Times New Roman" w:cs="Times New Roman"/>
          <w:sz w:val="24"/>
          <w:szCs w:val="24"/>
        </w:rPr>
        <w:t>Расходы вспомогательных производств в виде затрат прачечной относятся на себестоимость конкретного продукта труда пропорционально сумме заработной платы основных производственных рабочих.</w:t>
      </w:r>
    </w:p>
    <w:p>
      <w:pPr>
        <w:pStyle w:val="44"/>
        <w:rPr>
          <w:rFonts w:ascii="Times New Roman" w:hAnsi="Times New Roman" w:cs="Times New Roman"/>
          <w:sz w:val="24"/>
          <w:szCs w:val="24"/>
        </w:rPr>
      </w:pPr>
      <w:r>
        <w:rPr>
          <w:rFonts w:ascii="Times New Roman" w:hAnsi="Times New Roman" w:cs="Times New Roman"/>
          <w:sz w:val="24"/>
          <w:szCs w:val="24"/>
        </w:rPr>
        <w:t>Расходы вспомогательных производств в виде затрат заготовительно-складского подразделения относятся на себестоимость конкретного продукта труда пропорционально стоимости основных материалов, отпущенных в производство в течение отчетного периода.</w:t>
      </w:r>
    </w:p>
    <w:p>
      <w:pPr>
        <w:pStyle w:val="44"/>
        <w:rPr>
          <w:rFonts w:ascii="Times New Roman" w:hAnsi="Times New Roman" w:cs="Times New Roman"/>
          <w:sz w:val="24"/>
          <w:szCs w:val="24"/>
        </w:rPr>
      </w:pPr>
      <w:r>
        <w:rPr>
          <w:rFonts w:ascii="Times New Roman" w:hAnsi="Times New Roman" w:cs="Times New Roman"/>
          <w:sz w:val="24"/>
          <w:szCs w:val="24"/>
        </w:rPr>
        <w:t>5.8. Расходы на содержание заготовительно-складского аппарата организации, включая расходы на оплату труда работников организации, непосредственно занятых заготовкой (закупкой) запасов, их доставкой (сопровождением) в организацию, приемкой, хранением и отпуском, а также взносы на обязательное социальное страхование с указанных сумм оплаты труда не включаются в состав ТЗР, а относятся на затраты на производство.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6 ПБУ 1/2008)</w:t>
      </w:r>
    </w:p>
    <w:p>
      <w:pPr>
        <w:pStyle w:val="44"/>
        <w:rPr>
          <w:rFonts w:ascii="Times New Roman" w:hAnsi="Times New Roman" w:cs="Times New Roman"/>
          <w:sz w:val="24"/>
          <w:szCs w:val="24"/>
        </w:rPr>
      </w:pPr>
      <w:r>
        <w:rPr>
          <w:rFonts w:ascii="Times New Roman" w:hAnsi="Times New Roman" w:cs="Times New Roman"/>
          <w:sz w:val="24"/>
          <w:szCs w:val="24"/>
        </w:rPr>
        <w:t>5.9. Себестоимость производства продукции.</w:t>
      </w:r>
    </w:p>
    <w:p>
      <w:pPr>
        <w:pStyle w:val="44"/>
        <w:rPr>
          <w:rFonts w:ascii="Times New Roman" w:hAnsi="Times New Roman" w:cs="Times New Roman"/>
          <w:sz w:val="24"/>
          <w:szCs w:val="24"/>
        </w:rPr>
      </w:pPr>
      <w:r>
        <w:rPr>
          <w:rFonts w:ascii="Times New Roman" w:hAnsi="Times New Roman" w:cs="Times New Roman"/>
          <w:sz w:val="24"/>
          <w:szCs w:val="24"/>
        </w:rPr>
        <w:t>5.9.1. В составе прямых расходов отражаются:</w:t>
      </w:r>
    </w:p>
    <w:p>
      <w:pPr>
        <w:pStyle w:val="44"/>
        <w:rPr>
          <w:rFonts w:ascii="Times New Roman" w:hAnsi="Times New Roman" w:cs="Times New Roman"/>
          <w:sz w:val="24"/>
          <w:szCs w:val="24"/>
        </w:rPr>
      </w:pPr>
      <w:r>
        <w:rPr>
          <w:rFonts w:ascii="Times New Roman" w:hAnsi="Times New Roman" w:cs="Times New Roman"/>
          <w:sz w:val="24"/>
          <w:szCs w:val="24"/>
        </w:rPr>
        <w:t>- расходы на оплату труда работников, непосредственно участвующих в производстве продукции, и начисленные на такую оплату страховые взносы;</w:t>
      </w:r>
    </w:p>
    <w:p>
      <w:pPr>
        <w:pStyle w:val="44"/>
        <w:rPr>
          <w:rFonts w:ascii="Times New Roman" w:hAnsi="Times New Roman" w:cs="Times New Roman"/>
          <w:sz w:val="24"/>
          <w:szCs w:val="24"/>
        </w:rPr>
      </w:pPr>
      <w:r>
        <w:rPr>
          <w:rFonts w:ascii="Times New Roman" w:hAnsi="Times New Roman" w:cs="Times New Roman"/>
          <w:sz w:val="24"/>
          <w:szCs w:val="24"/>
        </w:rPr>
        <w:t>- расходы на приобретение сырья и материалов, потребляемых в процессе производства продукции;</w:t>
      </w:r>
    </w:p>
    <w:p>
      <w:pPr>
        <w:pStyle w:val="44"/>
        <w:rPr>
          <w:rFonts w:ascii="Times New Roman" w:hAnsi="Times New Roman" w:cs="Times New Roman"/>
          <w:sz w:val="24"/>
          <w:szCs w:val="24"/>
        </w:rPr>
      </w:pPr>
      <w:r>
        <w:rPr>
          <w:rFonts w:ascii="Times New Roman" w:hAnsi="Times New Roman" w:cs="Times New Roman"/>
          <w:sz w:val="24"/>
          <w:szCs w:val="24"/>
        </w:rPr>
        <w:t>- амортизация основных средств, стоимость малоценных основных средств, а также затраты на поддержание работоспособности или исправности и на ремонт таких ОС и малоценных ОС, если данные средства производства непосредственно используются для производства продукции;</w:t>
      </w:r>
    </w:p>
    <w:p>
      <w:pPr>
        <w:pStyle w:val="44"/>
        <w:rPr>
          <w:rFonts w:ascii="Times New Roman" w:hAnsi="Times New Roman" w:cs="Times New Roman"/>
          <w:sz w:val="24"/>
          <w:szCs w:val="24"/>
        </w:rPr>
      </w:pPr>
      <w:r>
        <w:rPr>
          <w:rFonts w:ascii="Times New Roman" w:hAnsi="Times New Roman" w:cs="Times New Roman"/>
          <w:sz w:val="24"/>
          <w:szCs w:val="24"/>
        </w:rPr>
        <w:t>- расходы на оплату работ (услуг) сторонних организаций, непосредственно используемых в производстве продукции;</w:t>
      </w:r>
    </w:p>
    <w:p>
      <w:pPr>
        <w:pStyle w:val="44"/>
        <w:rPr>
          <w:rFonts w:ascii="Times New Roman" w:hAnsi="Times New Roman" w:cs="Times New Roman"/>
          <w:sz w:val="24"/>
          <w:szCs w:val="24"/>
        </w:rPr>
      </w:pPr>
      <w:r>
        <w:rPr>
          <w:rFonts w:ascii="Times New Roman" w:hAnsi="Times New Roman" w:cs="Times New Roman"/>
          <w:sz w:val="24"/>
          <w:szCs w:val="24"/>
        </w:rPr>
        <w:t>- другие расходы, непосредственно связанные с производством продукции.</w:t>
      </w:r>
    </w:p>
    <w:p>
      <w:pPr>
        <w:pStyle w:val="44"/>
        <w:rPr>
          <w:rFonts w:ascii="Times New Roman" w:hAnsi="Times New Roman" w:cs="Times New Roman"/>
          <w:sz w:val="24"/>
          <w:szCs w:val="24"/>
        </w:rPr>
      </w:pPr>
      <w:r>
        <w:rPr>
          <w:rFonts w:ascii="Times New Roman" w:hAnsi="Times New Roman" w:cs="Times New Roman"/>
          <w:sz w:val="24"/>
          <w:szCs w:val="24"/>
        </w:rPr>
        <w:t>5.9.2. Незавершенное производство (затраты на изготовление продукции, не прошедшей всех стадий (фаз, переделов), предусмотренных технологическим процессом) на отчетную дату отражается в бухгалтерском учете по нормативной (плановой) себестоимости.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"б" п. 27 ФСБУ 5/2019)</w:t>
      </w:r>
    </w:p>
    <w:p>
      <w:pPr>
        <w:pStyle w:val="44"/>
        <w:rPr>
          <w:rFonts w:ascii="Times New Roman" w:hAnsi="Times New Roman" w:cs="Times New Roman"/>
          <w:sz w:val="24"/>
          <w:szCs w:val="24"/>
        </w:rPr>
      </w:pPr>
      <w:r>
        <w:rPr>
          <w:rFonts w:ascii="Times New Roman" w:hAnsi="Times New Roman" w:cs="Times New Roman"/>
          <w:sz w:val="24"/>
          <w:szCs w:val="24"/>
        </w:rPr>
        <w:t>5.9.3. Организация применяет попередельный учет затрат на производство продукции. Учет полуфабрикатов собственного производства ведется по каждому наименованию в количественном и суммовом выражении с использованием счета 21 "Полуфабрикаты собственного производства" (полуфабрикатный метод учета производственных затрат).</w:t>
      </w:r>
    </w:p>
    <w:p>
      <w:pPr>
        <w:pStyle w:val="44"/>
        <w:rPr>
          <w:rFonts w:ascii="Times New Roman" w:hAnsi="Times New Roman" w:cs="Times New Roman"/>
          <w:sz w:val="24"/>
          <w:szCs w:val="24"/>
        </w:rPr>
      </w:pPr>
      <w:r>
        <w:rPr>
          <w:rFonts w:ascii="Times New Roman" w:hAnsi="Times New Roman" w:cs="Times New Roman"/>
          <w:sz w:val="24"/>
          <w:szCs w:val="24"/>
        </w:rPr>
        <w:t>Полуфабрикаты собственного производства принимаются к учету по нормативной (плановой) себестоимости.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"е" п. 3, пп. "б" п. 27 ФСБУ 5/2019)</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6. Учетная политика. Готовая продукция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Учет готовой продукции ведется в соответствии с Федеральным стандартом бухгалтерского учета ФСБУ 5/2019</w:t>
      </w:r>
      <w:r>
        <w:rPr>
          <w:rFonts w:ascii="Times New Roman" w:hAnsi="Times New Roman" w:cs="Times New Roman"/>
          <w:sz w:val="24"/>
          <w:szCs w:val="24"/>
        </w:rPr>
        <w:t xml:space="preserve"> "</w:t>
      </w:r>
      <w:r>
        <w:rPr>
          <w:rFonts w:ascii="Times New Roman" w:hAnsi="Times New Roman" w:cs="Times New Roman"/>
          <w:i/>
          <w:iCs/>
          <w:sz w:val="24"/>
          <w:szCs w:val="24"/>
        </w:rPr>
        <w:t>Запасы</w:t>
      </w:r>
      <w:r>
        <w:rPr>
          <w:rFonts w:ascii="Times New Roman" w:hAnsi="Times New Roman" w:cs="Times New Roman"/>
          <w:sz w:val="24"/>
          <w:szCs w:val="24"/>
        </w:rPr>
        <w:t>"</w:t>
      </w:r>
      <w:r>
        <w:rPr>
          <w:rFonts w:ascii="Times New Roman" w:hAnsi="Times New Roman" w:cs="Times New Roman"/>
          <w:i/>
          <w:iCs/>
          <w:sz w:val="24"/>
          <w:szCs w:val="24"/>
        </w:rPr>
        <w:t xml:space="preserve">, утвержденным Приказом Минфина России от 15.11.2019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180н.</w:t>
      </w:r>
    </w:p>
    <w:p>
      <w:pPr>
        <w:pStyle w:val="44"/>
        <w:rPr>
          <w:rFonts w:ascii="Times New Roman" w:hAnsi="Times New Roman" w:cs="Times New Roman"/>
          <w:sz w:val="24"/>
          <w:szCs w:val="24"/>
        </w:rPr>
      </w:pPr>
      <w:r>
        <w:rPr>
          <w:rFonts w:ascii="Times New Roman" w:hAnsi="Times New Roman" w:cs="Times New Roman"/>
          <w:sz w:val="24"/>
          <w:szCs w:val="24"/>
        </w:rPr>
        <w:t>6.1. Учет выпуска готовой продукции.</w:t>
      </w:r>
    </w:p>
    <w:p>
      <w:pPr>
        <w:pStyle w:val="44"/>
        <w:rPr>
          <w:rFonts w:ascii="Times New Roman" w:hAnsi="Times New Roman" w:cs="Times New Roman"/>
          <w:sz w:val="24"/>
          <w:szCs w:val="24"/>
        </w:rPr>
      </w:pPr>
      <w:r>
        <w:rPr>
          <w:rFonts w:ascii="Times New Roman" w:hAnsi="Times New Roman" w:cs="Times New Roman"/>
          <w:sz w:val="24"/>
          <w:szCs w:val="24"/>
        </w:rPr>
        <w:t>6.1.1. Готовая продукция оценивается по фактическим затратам на ее изготовление.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23, 24 ФСБУ 5/2019)</w:t>
      </w:r>
    </w:p>
    <w:p>
      <w:pPr>
        <w:pStyle w:val="44"/>
        <w:rPr>
          <w:rFonts w:ascii="Times New Roman" w:hAnsi="Times New Roman" w:cs="Times New Roman"/>
          <w:sz w:val="24"/>
          <w:szCs w:val="24"/>
        </w:rPr>
      </w:pPr>
      <w:r>
        <w:rPr>
          <w:rFonts w:ascii="Times New Roman" w:hAnsi="Times New Roman" w:cs="Times New Roman"/>
          <w:sz w:val="24"/>
          <w:szCs w:val="24"/>
        </w:rPr>
        <w:t>6.1.2. В аналитическом учете движение отдельных наименований готовой продукции отражается по учетным ценам. В качестве учетной цены принимается нормативная (плановая) себестоимость, определяемая на основе плановых (нормативных) затрат, которые устанавливаются организацией исходя из нормальных (обычно необходимых) объемов использования сырья, материалов, топлива, энергии, трудовых и других ресурсов в условиях нормальной загрузки производственных мощностей.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Инструкция по применению Плана счетов (абз. 6 пояснений к счету 43))</w:t>
      </w:r>
    </w:p>
    <w:p>
      <w:pPr>
        <w:pStyle w:val="44"/>
        <w:rPr>
          <w:rFonts w:ascii="Times New Roman" w:hAnsi="Times New Roman" w:cs="Times New Roman"/>
          <w:sz w:val="24"/>
          <w:szCs w:val="24"/>
        </w:rPr>
      </w:pPr>
      <w:r>
        <w:rPr>
          <w:rFonts w:ascii="Times New Roman" w:hAnsi="Times New Roman" w:cs="Times New Roman"/>
          <w:sz w:val="24"/>
          <w:szCs w:val="24"/>
        </w:rPr>
        <w:t>6.1.3. Отклонения между фактической себестоимостью и стоимостью готовой продукции по учетным ценам учитываются на счете учета готовой продукции обособленно в разрезе номенклатуры готовой продукции с учетом установленной единицы учета. Отклонения, приходящиеся на отгруженную продукцию, по которой еще не признана выручка, списываются на счет учета отгруженной продукции, а приходящиеся на реализованную продукцию - на себестоимость реализации.</w:t>
      </w:r>
    </w:p>
    <w:p>
      <w:pPr>
        <w:pStyle w:val="44"/>
        <w:rPr>
          <w:rFonts w:ascii="Times New Roman" w:hAnsi="Times New Roman" w:cs="Times New Roman"/>
          <w:i/>
          <w:sz w:val="24"/>
          <w:szCs w:val="24"/>
        </w:rPr>
      </w:pPr>
      <w:r>
        <w:rPr>
          <w:rFonts w:ascii="Times New Roman" w:hAnsi="Times New Roman" w:cs="Times New Roman"/>
          <w:i/>
          <w:sz w:val="24"/>
          <w:szCs w:val="24"/>
        </w:rPr>
        <w:t>(Основание: Инструкция по применению Плана счетов (абз. 6 - 8 пояснений к счету 43))</w:t>
      </w:r>
    </w:p>
    <w:p>
      <w:pPr>
        <w:pStyle w:val="44"/>
        <w:rPr>
          <w:rFonts w:ascii="Times New Roman" w:hAnsi="Times New Roman" w:cs="Times New Roman"/>
          <w:sz w:val="24"/>
          <w:szCs w:val="24"/>
        </w:rPr>
      </w:pPr>
      <w:r>
        <w:rPr>
          <w:rFonts w:ascii="Times New Roman" w:hAnsi="Times New Roman" w:cs="Times New Roman"/>
          <w:sz w:val="24"/>
          <w:szCs w:val="24"/>
        </w:rPr>
        <w:t>6.1.4. Пересчет учетной стоимости остатков готовой продукции в связи с переходом от одного вида учетной цены к другому, а также в случае изменения величины учетных цен не производится.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6 ПБУ 1/2008)</w:t>
      </w:r>
    </w:p>
    <w:p>
      <w:pPr>
        <w:pStyle w:val="44"/>
        <w:rPr>
          <w:rFonts w:ascii="Times New Roman" w:hAnsi="Times New Roman" w:cs="Times New Roman"/>
          <w:sz w:val="24"/>
          <w:szCs w:val="24"/>
        </w:rPr>
      </w:pPr>
      <w:r>
        <w:rPr>
          <w:rFonts w:ascii="Times New Roman" w:hAnsi="Times New Roman" w:cs="Times New Roman"/>
          <w:sz w:val="24"/>
          <w:szCs w:val="24"/>
        </w:rPr>
        <w:t>6.1.5. Расходы на упаковку готовой продукции, не формирующие ее производственную себестоимость (понесенные после выпуска готовой продукции, сдачи на склад и т.д.), не распределяются между отгруженной (проданной) готовой продукцией и остатком готовой продукции на конец каждого месяца, а относятся на расходы на продажу в полной сумме.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9 ПБУ 10/99)</w:t>
      </w:r>
    </w:p>
    <w:p>
      <w:pPr>
        <w:pStyle w:val="44"/>
        <w:rPr>
          <w:rFonts w:ascii="Times New Roman" w:hAnsi="Times New Roman" w:cs="Times New Roman"/>
          <w:sz w:val="24"/>
          <w:szCs w:val="24"/>
        </w:rPr>
      </w:pPr>
      <w:r>
        <w:rPr>
          <w:rFonts w:ascii="Times New Roman" w:hAnsi="Times New Roman" w:cs="Times New Roman"/>
          <w:sz w:val="24"/>
          <w:szCs w:val="24"/>
        </w:rPr>
        <w:t>6.1.6. Единицей бухгалтерского учета готовой продукции является номенклатурный номер.</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6 ФСБУ 5/2019)</w:t>
      </w:r>
    </w:p>
    <w:p>
      <w:pPr>
        <w:pStyle w:val="44"/>
        <w:rPr>
          <w:rFonts w:ascii="Times New Roman" w:hAnsi="Times New Roman" w:cs="Times New Roman"/>
          <w:sz w:val="24"/>
          <w:szCs w:val="24"/>
        </w:rPr>
      </w:pPr>
      <w:r>
        <w:rPr>
          <w:rFonts w:ascii="Times New Roman" w:hAnsi="Times New Roman" w:cs="Times New Roman"/>
          <w:sz w:val="24"/>
          <w:szCs w:val="24"/>
        </w:rPr>
        <w:t>6.2. Учет отгрузки (отпуска) готовой продукции.</w:t>
      </w:r>
    </w:p>
    <w:p>
      <w:pPr>
        <w:pStyle w:val="44"/>
        <w:rPr>
          <w:rFonts w:ascii="Times New Roman" w:hAnsi="Times New Roman" w:cs="Times New Roman"/>
          <w:sz w:val="24"/>
          <w:szCs w:val="24"/>
        </w:rPr>
      </w:pPr>
      <w:r>
        <w:rPr>
          <w:rFonts w:ascii="Times New Roman" w:hAnsi="Times New Roman" w:cs="Times New Roman"/>
          <w:sz w:val="24"/>
          <w:szCs w:val="24"/>
        </w:rPr>
        <w:t>6.2.1. При отпуске готовой продукции ее оценка производится организацией по средней себестоимости. Средняя себестоимость определяется исходя из средней за период фактической себестоимости (взвешенная оценка), в расчет которой включаются количество и стоимость готовой продукции на начало периода и все поступления за период. В качестве расчетного периода установлен месяц.</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"б" п. 36, п. 39 ФСБУ 5/2019)</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7. Учетная политика. Резервы под обесценение запасов</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Создание данного резерва является обязательным (за исключением организаций, которые вправе применять упрощенные способы ведения бухгалтерского учета, включая упрощенную бухгалтерскую (финансовую) отчетность).</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7.1. Резерв под обесценение материалов, готовой продукции создается по каждой единице запасов (в зависимости от установленной единицы учета соответствующего вида запасов).</w:t>
      </w:r>
    </w:p>
    <w:p>
      <w:pPr>
        <w:pStyle w:val="44"/>
        <w:rPr>
          <w:rFonts w:ascii="Times New Roman" w:hAnsi="Times New Roman" w:cs="Times New Roman"/>
          <w:sz w:val="24"/>
          <w:szCs w:val="24"/>
        </w:rPr>
      </w:pPr>
      <w:r>
        <w:rPr>
          <w:rFonts w:ascii="Times New Roman" w:hAnsi="Times New Roman" w:cs="Times New Roman"/>
          <w:sz w:val="24"/>
          <w:szCs w:val="24"/>
        </w:rPr>
        <w:t>7.2. Организация создает (корректирует) резерв под обесценение запасов на каждую отчетную дату (в том числе на отчетные даты промежуточной бухгалтерской отчетности).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28, 30, 31 ФСБУ 5/2019)</w:t>
      </w:r>
    </w:p>
    <w:p>
      <w:pPr>
        <w:pStyle w:val="44"/>
        <w:rPr>
          <w:rFonts w:ascii="Times New Roman" w:hAnsi="Times New Roman" w:cs="Times New Roman"/>
          <w:sz w:val="24"/>
          <w:szCs w:val="24"/>
        </w:rPr>
      </w:pPr>
      <w:r>
        <w:rPr>
          <w:rFonts w:ascii="Times New Roman" w:hAnsi="Times New Roman" w:cs="Times New Roman"/>
          <w:sz w:val="24"/>
          <w:szCs w:val="24"/>
        </w:rPr>
        <w:t>7.3. Организация отражает создание резерва под обесценение запасов в составе прочих расходов. Если последующее восстановление резерва оказывает существенное влияние на показатели расходов по обычным видам деятельности в отчете о финансовых результатах, в бухгалтерской отчетности раскрываются суммы созданного и восстановленного резерва и порядок их отражения.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 ПБУ 1/2008, п. 11 ПБУ 10/99)</w:t>
      </w:r>
    </w:p>
    <w:p>
      <w:pPr>
        <w:pStyle w:val="44"/>
        <w:rPr>
          <w:rFonts w:ascii="Times New Roman" w:hAnsi="Times New Roman" w:cs="Times New Roman"/>
          <w:sz w:val="24"/>
          <w:szCs w:val="24"/>
        </w:rPr>
      </w:pPr>
      <w:r>
        <w:rPr>
          <w:rFonts w:ascii="Times New Roman" w:hAnsi="Times New Roman" w:cs="Times New Roman"/>
          <w:sz w:val="24"/>
          <w:szCs w:val="24"/>
        </w:rPr>
        <w:t>7.4. Если чистая стоимость продажи запасов, по которым ранее был создан резерв под обесценение, увеличивается, то соответствующая часть резерва относится в уменьшение себестоимости реализации запасов текущего периода.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31 ФСБУ 5/2019)</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8. Учетная политика. Финансовые вложения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финансовых вложений ведется в соответствии с Положением по бухгалтерскому учету "Учет финансовых вложений" ПБУ 19/02, утвержденным Приказом Минфина России от 10.12.2002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126н.</w:t>
      </w:r>
    </w:p>
    <w:p>
      <w:pPr>
        <w:pStyle w:val="44"/>
        <w:rPr>
          <w:rFonts w:ascii="Times New Roman" w:hAnsi="Times New Roman" w:cs="Times New Roman"/>
          <w:sz w:val="24"/>
          <w:szCs w:val="24"/>
        </w:rPr>
      </w:pPr>
      <w:r>
        <w:rPr>
          <w:rFonts w:ascii="Times New Roman" w:hAnsi="Times New Roman" w:cs="Times New Roman"/>
          <w:sz w:val="24"/>
          <w:szCs w:val="24"/>
        </w:rPr>
        <w:t>8.1. Все фактические затраты на приобретение ценных бумаг вне зависимости от их существенности включаются в первоначальную стоимость приобретенных ценных бумаг.</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9 ПБУ 19/02)</w:t>
      </w:r>
    </w:p>
    <w:p>
      <w:pPr>
        <w:pStyle w:val="44"/>
        <w:rPr>
          <w:rFonts w:ascii="Times New Roman" w:hAnsi="Times New Roman" w:cs="Times New Roman"/>
          <w:sz w:val="24"/>
          <w:szCs w:val="24"/>
        </w:rPr>
      </w:pPr>
      <w:r>
        <w:rPr>
          <w:rFonts w:ascii="Times New Roman" w:hAnsi="Times New Roman" w:cs="Times New Roman"/>
          <w:sz w:val="24"/>
          <w:szCs w:val="24"/>
        </w:rPr>
        <w:t>8.2. Последующая оценка финансовых вложений.</w:t>
      </w:r>
    </w:p>
    <w:p>
      <w:pPr>
        <w:pStyle w:val="44"/>
        <w:rPr>
          <w:rFonts w:ascii="Times New Roman" w:hAnsi="Times New Roman" w:cs="Times New Roman"/>
          <w:sz w:val="24"/>
          <w:szCs w:val="24"/>
        </w:rPr>
      </w:pPr>
      <w:r>
        <w:rPr>
          <w:rFonts w:ascii="Times New Roman" w:hAnsi="Times New Roman" w:cs="Times New Roman"/>
          <w:sz w:val="24"/>
          <w:szCs w:val="24"/>
        </w:rPr>
        <w:t>8.2.1. Корректировка стоимости финансовых вложений, по которым текущая рыночная стоимость определяется, производится ежеквартально.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20 ПБУ 19/02)</w:t>
      </w:r>
    </w:p>
    <w:p>
      <w:pPr>
        <w:pStyle w:val="44"/>
        <w:rPr>
          <w:rFonts w:ascii="Times New Roman" w:hAnsi="Times New Roman" w:cs="Times New Roman"/>
          <w:sz w:val="24"/>
          <w:szCs w:val="24"/>
        </w:rPr>
      </w:pPr>
      <w:r>
        <w:rPr>
          <w:rFonts w:ascii="Times New Roman" w:hAnsi="Times New Roman" w:cs="Times New Roman"/>
          <w:sz w:val="24"/>
          <w:szCs w:val="24"/>
        </w:rPr>
        <w:t>8.2.2. Проверка на обесценение финансовых вложений, текущая рыночная стоимость которых не определяется, проводится ежегодно по состоянию на 31 декабря отчетного года, а также на отчетные даты промежуточной бухгалтерской отчетности при наличии признаков обесценения.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6 п. 38 ПБУ 19/02)</w:t>
      </w:r>
    </w:p>
    <w:p>
      <w:pPr>
        <w:pStyle w:val="44"/>
        <w:rPr>
          <w:rFonts w:ascii="Times New Roman" w:hAnsi="Times New Roman" w:cs="Times New Roman"/>
          <w:sz w:val="24"/>
          <w:szCs w:val="24"/>
        </w:rPr>
      </w:pPr>
      <w:r>
        <w:rPr>
          <w:rFonts w:ascii="Times New Roman" w:hAnsi="Times New Roman" w:cs="Times New Roman"/>
          <w:sz w:val="24"/>
          <w:szCs w:val="24"/>
        </w:rPr>
        <w:t>8.2.3. По долговым ценным бумагам, по которым не определяется текущая рыночная стоимость, разница между первоначальной и номинальной стоимостью учитывается в составе прочих доходов (расходов) в течение срока обращения ценных бумаг равномерно, по мере причитающегося по ним в соответствии с условиями выпуска дохода.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22 ПБУ 19/02)</w:t>
      </w:r>
    </w:p>
    <w:p>
      <w:pPr>
        <w:pStyle w:val="44"/>
        <w:rPr>
          <w:rFonts w:ascii="Times New Roman" w:hAnsi="Times New Roman" w:cs="Times New Roman"/>
          <w:sz w:val="24"/>
          <w:szCs w:val="24"/>
        </w:rPr>
      </w:pPr>
      <w:r>
        <w:rPr>
          <w:rFonts w:ascii="Times New Roman" w:hAnsi="Times New Roman" w:cs="Times New Roman"/>
          <w:sz w:val="24"/>
          <w:szCs w:val="24"/>
        </w:rPr>
        <w:t>8.3. При выбытии ценных бумаг, по которым не определяется текущая рыночная стоимость, их стоимость определяется по первоначальной стоимости каждой единицы бухгалтерского учета финансовых вложений.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26 ПБУ 19/02)</w:t>
      </w:r>
    </w:p>
    <w:p>
      <w:pPr>
        <w:pStyle w:val="44"/>
        <w:rPr>
          <w:rFonts w:ascii="Times New Roman" w:hAnsi="Times New Roman" w:cs="Times New Roman"/>
          <w:sz w:val="24"/>
          <w:szCs w:val="24"/>
        </w:rPr>
      </w:pPr>
      <w:r>
        <w:rPr>
          <w:rFonts w:ascii="Times New Roman" w:hAnsi="Times New Roman" w:cs="Times New Roman"/>
          <w:sz w:val="24"/>
          <w:szCs w:val="24"/>
        </w:rPr>
        <w:t>8.4. Применение счетов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8.4.1. Займы, предоставленные работникам организации под проценты и признаваемые финансовыми вложениями, учитываются на счете 73 "Расчеты с персоналом по прочим операциям", субсчет "Расчеты по предоставленным займам".</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Инструкция по применению Плана счетов)</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Вне зависимости от того, на каком счете бухучета вы отражаете займы, выданные работникам под проценты, в бухгалтерской (финансовой) отчетности такие займы показываются в составе финансовых вложений.</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8.4.2. Депозитные вклады и сертификаты, признаваемые финансовыми вложениями, учитываются на счете 55 "Специальные счета в банках", субсчет "Депозитные счета".</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Инструкция по применению Плана счетов)</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Вне зависимости от того, на каком счете бухучета вы отражаете депозитные вклады, в бухгалтерской (финансовой) отчетности они показываются в составе финансовых вложений.</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9. Учетная политика. Резервы по сомнительным долгам</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Создание данного резерва является обязательным. Рекомендуем описать в учетной политике применяемый вами порядок его создания.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9.1. Выявление сомнительной дебиторской задолженности.</w:t>
      </w:r>
    </w:p>
    <w:p>
      <w:pPr>
        <w:pStyle w:val="44"/>
        <w:rPr>
          <w:rFonts w:ascii="Times New Roman" w:hAnsi="Times New Roman" w:cs="Times New Roman"/>
          <w:sz w:val="24"/>
          <w:szCs w:val="24"/>
        </w:rPr>
      </w:pPr>
      <w:r>
        <w:rPr>
          <w:rFonts w:ascii="Times New Roman" w:hAnsi="Times New Roman" w:cs="Times New Roman"/>
          <w:sz w:val="24"/>
          <w:szCs w:val="24"/>
        </w:rPr>
        <w:t>9.1.1. Проверка дебиторской задолженности на предмет необходимости создания (корректировки) резерва по сомнительным долгам осуществляется на конец каждого отчетного периода.</w:t>
      </w:r>
    </w:p>
    <w:p>
      <w:pPr>
        <w:pStyle w:val="44"/>
        <w:rPr>
          <w:rFonts w:ascii="Times New Roman" w:hAnsi="Times New Roman" w:cs="Times New Roman"/>
          <w:sz w:val="24"/>
          <w:szCs w:val="24"/>
        </w:rPr>
      </w:pPr>
      <w:r>
        <w:rPr>
          <w:rFonts w:ascii="Times New Roman" w:hAnsi="Times New Roman" w:cs="Times New Roman"/>
          <w:i/>
        </w:rPr>
        <w:t>(</w:t>
      </w:r>
      <w:r>
        <w:rPr>
          <w:rFonts w:ascii="Times New Roman" w:hAnsi="Times New Roman" w:cs="Times New Roman"/>
          <w:i/>
          <w:iCs/>
          <w:sz w:val="24"/>
          <w:szCs w:val="24"/>
        </w:rPr>
        <w:t>Основание: п. 23 ФСБУ 4/2023)</w:t>
      </w:r>
    </w:p>
    <w:p>
      <w:pPr>
        <w:pStyle w:val="44"/>
        <w:rPr>
          <w:rFonts w:ascii="Times New Roman" w:hAnsi="Times New Roman" w:cs="Times New Roman"/>
          <w:sz w:val="24"/>
          <w:szCs w:val="24"/>
        </w:rPr>
      </w:pPr>
      <w:r>
        <w:rPr>
          <w:rFonts w:ascii="Times New Roman" w:hAnsi="Times New Roman" w:cs="Times New Roman"/>
          <w:sz w:val="24"/>
          <w:szCs w:val="24"/>
        </w:rPr>
        <w:t>9.1.2. Проверке подлежит дебиторская задолженность юридических и физических лиц, возникшая по любым основаниям.</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70 Положения по ведению бухгалтерского учета и бухгалтерской отчетности)</w:t>
      </w:r>
    </w:p>
    <w:p>
      <w:pPr>
        <w:pStyle w:val="44"/>
        <w:rPr>
          <w:rFonts w:ascii="Times New Roman" w:hAnsi="Times New Roman" w:cs="Times New Roman"/>
          <w:sz w:val="24"/>
          <w:szCs w:val="24"/>
        </w:rPr>
      </w:pPr>
      <w:r>
        <w:rPr>
          <w:rFonts w:ascii="Times New Roman" w:hAnsi="Times New Roman" w:cs="Times New Roman"/>
          <w:sz w:val="24"/>
          <w:szCs w:val="24"/>
        </w:rPr>
        <w:t>9.1.3. При квалификации задолженности в качестве сомнительной учитываются следующие обстоятельства:</w:t>
      </w:r>
    </w:p>
    <w:p>
      <w:pPr>
        <w:pStyle w:val="44"/>
        <w:rPr>
          <w:rFonts w:ascii="Times New Roman" w:hAnsi="Times New Roman" w:cs="Times New Roman"/>
          <w:sz w:val="24"/>
          <w:szCs w:val="24"/>
        </w:rPr>
      </w:pPr>
      <w:r>
        <w:rPr>
          <w:rFonts w:ascii="Times New Roman" w:hAnsi="Times New Roman" w:cs="Times New Roman"/>
          <w:sz w:val="24"/>
          <w:szCs w:val="24"/>
        </w:rPr>
        <w:t>- нарушение должником сроков исполнения обязательства;</w:t>
      </w:r>
    </w:p>
    <w:p>
      <w:pPr>
        <w:pStyle w:val="44"/>
        <w:rPr>
          <w:rFonts w:ascii="Times New Roman" w:hAnsi="Times New Roman" w:cs="Times New Roman"/>
          <w:sz w:val="24"/>
          <w:szCs w:val="24"/>
        </w:rPr>
      </w:pPr>
      <w:r>
        <w:rPr>
          <w:rFonts w:ascii="Times New Roman" w:hAnsi="Times New Roman" w:cs="Times New Roman"/>
          <w:sz w:val="24"/>
          <w:szCs w:val="24"/>
        </w:rPr>
        <w:t>- значительные финансовые затруднения должника, ставшие известными из СМИ или других источников;</w:t>
      </w:r>
    </w:p>
    <w:p>
      <w:pPr>
        <w:pStyle w:val="44"/>
        <w:rPr>
          <w:rFonts w:ascii="Times New Roman" w:hAnsi="Times New Roman" w:cs="Times New Roman"/>
          <w:sz w:val="24"/>
          <w:szCs w:val="24"/>
        </w:rPr>
      </w:pPr>
      <w:r>
        <w:rPr>
          <w:rFonts w:ascii="Times New Roman" w:hAnsi="Times New Roman" w:cs="Times New Roman"/>
          <w:sz w:val="24"/>
          <w:szCs w:val="24"/>
        </w:rPr>
        <w:t>- возбуждение процедуры банкротства в отношении должника.</w:t>
      </w:r>
    </w:p>
    <w:p>
      <w:pPr>
        <w:pStyle w:val="44"/>
        <w:rPr>
          <w:rFonts w:ascii="Times New Roman" w:hAnsi="Times New Roman" w:cs="Times New Roman"/>
          <w:sz w:val="24"/>
          <w:szCs w:val="24"/>
        </w:rPr>
      </w:pPr>
      <w:r>
        <w:rPr>
          <w:rFonts w:ascii="Times New Roman" w:hAnsi="Times New Roman" w:cs="Times New Roman"/>
          <w:sz w:val="24"/>
          <w:szCs w:val="24"/>
        </w:rPr>
        <w:t>9.1.4. Если имеется информация, с высокой степенью надежности подтверждающая отсутствие возможности исполнения обязательства должником, задолженность признается сомнительной независимо от наличия и периода просрочки и иных обстоятельств. Решение о создании резерва в таком случае утверждается руководителем организации.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70 Положения по ведению бухгалтерского учета и бухгалтерской отчетности)</w:t>
      </w:r>
    </w:p>
    <w:p>
      <w:pPr>
        <w:pStyle w:val="44"/>
        <w:rPr>
          <w:rFonts w:ascii="Times New Roman" w:hAnsi="Times New Roman" w:cs="Times New Roman"/>
          <w:sz w:val="24"/>
          <w:szCs w:val="24"/>
        </w:rPr>
      </w:pPr>
      <w:r>
        <w:rPr>
          <w:rFonts w:ascii="Times New Roman" w:hAnsi="Times New Roman" w:cs="Times New Roman"/>
          <w:sz w:val="24"/>
          <w:szCs w:val="24"/>
        </w:rPr>
        <w:t>9.1.5. Если на отчетную дату у организации имеется уверенность в погашении конкретной просроченной дебиторской задолженности, то задолженность не признается сомнительной и резерв по ней не создается. Соответствующее решение утверждается руководителем организации.</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Письмо Минфина России от 27.01.2012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07-02-18/01 (раздел "Резервирование сомнительных долгов"))</w:t>
      </w:r>
    </w:p>
    <w:p>
      <w:pPr>
        <w:pStyle w:val="44"/>
        <w:rPr>
          <w:rFonts w:ascii="Times New Roman" w:hAnsi="Times New Roman" w:cs="Times New Roman"/>
          <w:sz w:val="24"/>
          <w:szCs w:val="24"/>
        </w:rPr>
      </w:pPr>
      <w:r>
        <w:rPr>
          <w:rFonts w:ascii="Times New Roman" w:hAnsi="Times New Roman" w:cs="Times New Roman"/>
          <w:sz w:val="24"/>
          <w:szCs w:val="24"/>
        </w:rPr>
        <w:t>9.2.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4 п. 70 Положения по ведению бухгалтерского учета и бухгалтерской отчетности)</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10. Учетная политика. Займы и кредиты.</w:t>
      </w:r>
    </w:p>
    <w:p>
      <w:pPr>
        <w:pStyle w:val="44"/>
        <w:jc w:val="center"/>
        <w:rPr>
          <w:rFonts w:ascii="Times New Roman" w:hAnsi="Times New Roman" w:cs="Times New Roman"/>
          <w:sz w:val="24"/>
          <w:szCs w:val="24"/>
        </w:rPr>
      </w:pPr>
      <w:r>
        <w:rPr>
          <w:rFonts w:ascii="Times New Roman" w:hAnsi="Times New Roman" w:cs="Times New Roman"/>
          <w:b/>
          <w:bCs/>
          <w:sz w:val="24"/>
          <w:szCs w:val="24"/>
        </w:rPr>
        <w:t>Расходы по займам и кредитам</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расходов по обязательствам в виде полученных займов и кредитов ведется в соответствии с Положением по бухгалтерскому учету "Учет расходов по займам и кредитам" (ПБУ 15/2008), утвержденным Приказом Минфина России от 06.10.2008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107н.</w:t>
      </w:r>
    </w:p>
    <w:p>
      <w:pPr>
        <w:pStyle w:val="44"/>
        <w:rPr>
          <w:rFonts w:ascii="Times New Roman" w:hAnsi="Times New Roman" w:cs="Times New Roman"/>
          <w:sz w:val="24"/>
          <w:szCs w:val="24"/>
        </w:rPr>
      </w:pPr>
      <w:r>
        <w:rPr>
          <w:rFonts w:ascii="Times New Roman" w:hAnsi="Times New Roman" w:cs="Times New Roman"/>
          <w:sz w:val="24"/>
          <w:szCs w:val="24"/>
        </w:rPr>
        <w:t>10.1. Учет процентов по займам и кредитам.</w:t>
      </w:r>
    </w:p>
    <w:p>
      <w:pPr>
        <w:pStyle w:val="44"/>
        <w:rPr>
          <w:rFonts w:ascii="Times New Roman" w:hAnsi="Times New Roman" w:cs="Times New Roman"/>
          <w:sz w:val="24"/>
          <w:szCs w:val="24"/>
        </w:rPr>
      </w:pPr>
      <w:r>
        <w:rPr>
          <w:rFonts w:ascii="Times New Roman" w:hAnsi="Times New Roman" w:cs="Times New Roman"/>
          <w:sz w:val="24"/>
          <w:szCs w:val="24"/>
        </w:rPr>
        <w:t>10.1.1. Вся сумма начисленных в отчетном периоде процентов признается прочими расходами организации, за исключением той части, которая включается в стоимость инвестиционного актива в соответствии с правилами ПБУ 15/2008.</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7 ПБУ 15/2008)</w:t>
      </w:r>
    </w:p>
    <w:p>
      <w:pPr>
        <w:pStyle w:val="44"/>
        <w:rPr>
          <w:rFonts w:ascii="Times New Roman" w:hAnsi="Times New Roman" w:cs="Times New Roman"/>
          <w:sz w:val="24"/>
          <w:szCs w:val="24"/>
        </w:rPr>
      </w:pPr>
      <w:r>
        <w:rPr>
          <w:rFonts w:ascii="Times New Roman" w:hAnsi="Times New Roman" w:cs="Times New Roman"/>
          <w:sz w:val="24"/>
          <w:szCs w:val="24"/>
        </w:rPr>
        <w:t>10.1.2. В целях применения норм ПБУ 15/2008 под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Длительным временем на приобретение, сооружение и (или) изготовление инвестиционного актива считается период, превышающий 12 месяцев. Стоимость приобретения, сооружения и (или) изготовления инвестиционного актива признается существенной, если она превышает 3 000 000 руб.</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7 ПБУ 15/2008)</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Поскольку ПБУ 15/2008 не раскрывает понятия "длительное время" и "существенность расходов", рекомендуем зафиксировать их в учетной политике.</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10.1.3. По займам (кредитам), полученным на общие цели, но использованным для приобретения, сооружения или изготовления инвестиционного актива, сумма процентов, включаемая в стоимость инвестиционного актива, определяется по следующей формуле:</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vertAlign w:val="subscript"/>
        </w:rPr>
        <w:t>и</w:t>
      </w:r>
      <w:r>
        <w:rPr>
          <w:rFonts w:ascii="Times New Roman" w:hAnsi="Times New Roman" w:cs="Times New Roman"/>
          <w:sz w:val="24"/>
          <w:szCs w:val="24"/>
        </w:rPr>
        <w:t xml:space="preserve"> = П</w:t>
      </w:r>
      <w:r>
        <w:rPr>
          <w:rFonts w:ascii="Times New Roman" w:hAnsi="Times New Roman" w:cs="Times New Roman"/>
          <w:sz w:val="24"/>
          <w:szCs w:val="24"/>
          <w:vertAlign w:val="subscript"/>
        </w:rPr>
        <w:t>с</w:t>
      </w:r>
      <w:r>
        <w:rPr>
          <w:rFonts w:ascii="Times New Roman" w:hAnsi="Times New Roman" w:cs="Times New Roman"/>
          <w:sz w:val="24"/>
          <w:szCs w:val="24"/>
        </w:rPr>
        <w:t xml:space="preserve"> x С</w:t>
      </w:r>
      <w:r>
        <w:rPr>
          <w:rFonts w:ascii="Times New Roman" w:hAnsi="Times New Roman" w:cs="Times New Roman"/>
          <w:sz w:val="24"/>
          <w:szCs w:val="24"/>
          <w:vertAlign w:val="subscript"/>
        </w:rPr>
        <w:t>и</w:t>
      </w:r>
      <w:r>
        <w:rPr>
          <w:rFonts w:ascii="Times New Roman" w:hAnsi="Times New Roman" w:cs="Times New Roman"/>
          <w:sz w:val="24"/>
          <w:szCs w:val="24"/>
        </w:rPr>
        <w:t xml:space="preserve"> / В</w:t>
      </w:r>
      <w:r>
        <w:rPr>
          <w:rFonts w:ascii="Times New Roman" w:hAnsi="Times New Roman" w:cs="Times New Roman"/>
          <w:sz w:val="24"/>
          <w:szCs w:val="24"/>
          <w:vertAlign w:val="subscript"/>
        </w:rPr>
        <w:t>з</w:t>
      </w:r>
      <w:r>
        <w:rPr>
          <w:rFonts w:ascii="Times New Roman" w:hAnsi="Times New Roman" w:cs="Times New Roman"/>
          <w:sz w:val="24"/>
          <w:szCs w:val="24"/>
        </w:rPr>
        <w:t>,</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где П</w:t>
      </w:r>
      <w:r>
        <w:rPr>
          <w:rFonts w:ascii="Times New Roman" w:hAnsi="Times New Roman" w:cs="Times New Roman"/>
          <w:sz w:val="24"/>
          <w:szCs w:val="24"/>
          <w:vertAlign w:val="subscript"/>
        </w:rPr>
        <w:t>и</w:t>
      </w:r>
      <w:r>
        <w:rPr>
          <w:rFonts w:ascii="Times New Roman" w:hAnsi="Times New Roman" w:cs="Times New Roman"/>
          <w:sz w:val="24"/>
          <w:szCs w:val="24"/>
        </w:rPr>
        <w:t xml:space="preserve"> - величина процентов, включаемая в стоимость инвестиционного актива;</w:t>
      </w:r>
    </w:p>
    <w:p>
      <w:pPr>
        <w:pStyle w:val="44"/>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vertAlign w:val="subscript"/>
        </w:rPr>
        <w:t>с</w:t>
      </w:r>
      <w:r>
        <w:rPr>
          <w:rFonts w:ascii="Times New Roman" w:hAnsi="Times New Roman" w:cs="Times New Roman"/>
          <w:sz w:val="24"/>
          <w:szCs w:val="24"/>
        </w:rPr>
        <w:t xml:space="preserve"> - совокупная сумма начисленных за отчетный период процентов по займам (кредитам) на общие цели;</w:t>
      </w:r>
    </w:p>
    <w:p>
      <w:pPr>
        <w:pStyle w:val="44"/>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vertAlign w:val="subscript"/>
        </w:rPr>
        <w:t>и</w:t>
      </w:r>
      <w:r>
        <w:rPr>
          <w:rFonts w:ascii="Times New Roman" w:hAnsi="Times New Roman" w:cs="Times New Roman"/>
          <w:sz w:val="24"/>
          <w:szCs w:val="24"/>
        </w:rPr>
        <w:t xml:space="preserve"> - сумма израсходованных на инвестиционный актив средств займов (кредитов) на общие цели;</w:t>
      </w:r>
    </w:p>
    <w:p>
      <w:pPr>
        <w:pStyle w:val="44"/>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vertAlign w:val="subscript"/>
        </w:rPr>
        <w:t>з</w:t>
      </w:r>
      <w:r>
        <w:rPr>
          <w:rFonts w:ascii="Times New Roman" w:hAnsi="Times New Roman" w:cs="Times New Roman"/>
          <w:sz w:val="24"/>
          <w:szCs w:val="24"/>
        </w:rPr>
        <w:t xml:space="preserve"> - совокупная величина заимствований на общие цели.</w:t>
      </w:r>
    </w:p>
    <w:p>
      <w:pPr>
        <w:pStyle w:val="44"/>
        <w:rPr>
          <w:rFonts w:ascii="Times New Roman" w:hAnsi="Times New Roman" w:cs="Times New Roman"/>
          <w:sz w:val="24"/>
          <w:szCs w:val="24"/>
        </w:rPr>
      </w:pPr>
      <w:r>
        <w:rPr>
          <w:rFonts w:ascii="Times New Roman" w:hAnsi="Times New Roman" w:cs="Times New Roman"/>
          <w:sz w:val="24"/>
          <w:szCs w:val="24"/>
        </w:rPr>
        <w:t>Совокупная величина этих заимствований определяется путем сложения сумм займов (кредитов), полученных на общие цели в течение отчетного периода, и сумм неизрасходованных займов (кредитов) на общие цели на начало отчетного периода.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14 ПБУ 15/2008)</w:t>
      </w:r>
    </w:p>
    <w:p>
      <w:pPr>
        <w:pStyle w:val="44"/>
        <w:rPr>
          <w:rFonts w:ascii="Times New Roman" w:hAnsi="Times New Roman" w:cs="Times New Roman"/>
          <w:sz w:val="24"/>
          <w:szCs w:val="24"/>
        </w:rPr>
      </w:pPr>
      <w:r>
        <w:rPr>
          <w:rFonts w:ascii="Times New Roman" w:hAnsi="Times New Roman" w:cs="Times New Roman"/>
          <w:sz w:val="24"/>
          <w:szCs w:val="24"/>
        </w:rPr>
        <w:t>10.2. Проценты (дисконт) по выданным векселям признаются равномерно в течение предусмотренного векселем срока выплаты полученных взаймы денежных средств.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15 ПБУ 15/2008)</w:t>
      </w:r>
    </w:p>
    <w:p>
      <w:pPr>
        <w:pStyle w:val="44"/>
        <w:rPr>
          <w:rFonts w:ascii="Times New Roman" w:hAnsi="Times New Roman" w:cs="Times New Roman"/>
          <w:sz w:val="24"/>
          <w:szCs w:val="24"/>
        </w:rPr>
      </w:pPr>
      <w:r>
        <w:rPr>
          <w:rFonts w:ascii="Times New Roman" w:hAnsi="Times New Roman" w:cs="Times New Roman"/>
          <w:sz w:val="24"/>
          <w:szCs w:val="24"/>
        </w:rPr>
        <w:t>10.3. Дополнительные расходы по займам (кредитам) включаются в состав прочих расходов в момент их возникновения.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6, абз. 2 п. 8 ПБУ 15/2008)</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11. Учетная политика. Расчеты по налогу на прибыль</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расчетов по налогу на прибыль ведется в соответствии с Положением по бухгалтерскому учету "Учет расчетов по налогу на прибыль организаций" ПБУ 18/02, утвержденным Приказом Минфина России от 19.11.2002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114н.</w:t>
      </w:r>
    </w:p>
    <w:p>
      <w:pPr>
        <w:pStyle w:val="44"/>
        <w:rPr>
          <w:rFonts w:ascii="Times New Roman" w:hAnsi="Times New Roman" w:cs="Times New Roman"/>
          <w:sz w:val="24"/>
          <w:szCs w:val="24"/>
        </w:rPr>
      </w:pPr>
      <w:r>
        <w:rPr>
          <w:rFonts w:ascii="Times New Roman" w:hAnsi="Times New Roman" w:cs="Times New Roman"/>
          <w:sz w:val="24"/>
          <w:szCs w:val="24"/>
        </w:rPr>
        <w:t>11.1. Информация о постоянных и временных разницах формируется в бухгалтерском учете на основании первичных учетных документов непосредственно по тем счетам бухгалтерского учета, в оценке которых они возникли. При этом постоянные и временные разницы отражаются в бухгалтерском учете обособленно в аналитическом учете.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3 ПБУ 18/02)</w:t>
      </w:r>
    </w:p>
    <w:p>
      <w:pPr>
        <w:pStyle w:val="44"/>
        <w:rPr>
          <w:rFonts w:ascii="Times New Roman" w:hAnsi="Times New Roman" w:cs="Times New Roman"/>
          <w:sz w:val="24"/>
          <w:szCs w:val="24"/>
        </w:rPr>
      </w:pPr>
      <w:r>
        <w:rPr>
          <w:rFonts w:ascii="Times New Roman" w:hAnsi="Times New Roman" w:cs="Times New Roman"/>
          <w:sz w:val="24"/>
          <w:szCs w:val="24"/>
        </w:rPr>
        <w:t>11.2. Величина текущего налога на прибыль определяется на основе данных, сформированных в бухгалтерском учете.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3 п. 22 ПБУ 18/02)</w:t>
      </w:r>
    </w:p>
    <w:p>
      <w:pPr>
        <w:pStyle w:val="44"/>
        <w:rPr>
          <w:rFonts w:ascii="Times New Roman" w:hAnsi="Times New Roman" w:cs="Times New Roman"/>
          <w:sz w:val="24"/>
          <w:szCs w:val="24"/>
        </w:rPr>
      </w:pPr>
      <w:r>
        <w:rPr>
          <w:rFonts w:ascii="Times New Roman" w:hAnsi="Times New Roman" w:cs="Times New Roman"/>
          <w:sz w:val="24"/>
          <w:szCs w:val="24"/>
        </w:rPr>
        <w:t>11.3. Налоговая стоимость актива определяется в порядке, определенном МСФО (IAS) 12 "Налоги на прибыль", как сумма, которая для целей налогообложения подлежит вычету из любых налогооблагаемых экономических выгод, которые будут поступать в организацию при возмещении балансовой стоимости этого актива. Если они не будут подлежать налогообложению, налоговая стоимость соответствующего актива считается равной его балансовой стоимости.</w:t>
      </w:r>
    </w:p>
    <w:p>
      <w:pPr>
        <w:pStyle w:val="44"/>
        <w:rPr>
          <w:rFonts w:ascii="Times New Roman" w:hAnsi="Times New Roman" w:cs="Times New Roman"/>
          <w:sz w:val="24"/>
          <w:szCs w:val="24"/>
        </w:rPr>
      </w:pPr>
      <w:r>
        <w:rPr>
          <w:rFonts w:ascii="Times New Roman" w:hAnsi="Times New Roman" w:cs="Times New Roman"/>
          <w:sz w:val="24"/>
          <w:szCs w:val="24"/>
        </w:rPr>
        <w:t>Налоговая стоимость обязательства определяется в порядке, определенном МСФО (IAS) 12 "Налоги на прибыль", как его балансовая стоимость, уменьшенная на суммы, которые в будущих периодах будут подлежать вычету в налоговых целях в отношении данного обязательства. Если доходы получены авансом, налоговая стоимость возникшего в результате обязательства равна его балансовой стоимости за вычетом любой суммы соответствующего дохода, в которой он не будет облагаться налогом в будущих периодах.</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8 ПБУ 18/02, п. п. 7, 8 МСФО (IAS) 12 "Налоги на прибыль", п. 7.1 ПБУ 1/2008)</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12. Учетная политика. Оценочные обязательства</w:t>
      </w:r>
    </w:p>
    <w:p>
      <w:pPr>
        <w:pStyle w:val="44"/>
        <w:rPr>
          <w:rFonts w:ascii="Times New Roman" w:hAnsi="Times New Roman" w:cs="Times New Roman"/>
          <w:i/>
          <w:iCs/>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оценочных обязательств ведется в соответствии с Положением по бухгалтерскому учету "Оценочные обязательства, условные обязательства и условные активы" (ПБУ 8/2010), утвержденным Приказом Минфина России от 13.12.2010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167н.</w:t>
      </w:r>
    </w:p>
    <w:p>
      <w:pPr>
        <w:pStyle w:val="44"/>
        <w:rPr>
          <w:rFonts w:ascii="Times New Roman" w:hAnsi="Times New Roman" w:cs="Times New Roman"/>
          <w:sz w:val="24"/>
          <w:szCs w:val="24"/>
        </w:rPr>
      </w:pPr>
      <w:r>
        <w:rPr>
          <w:rFonts w:ascii="Times New Roman" w:hAnsi="Times New Roman" w:cs="Times New Roman"/>
          <w:sz w:val="24"/>
          <w:szCs w:val="24"/>
        </w:rPr>
        <w:t>12.1. Оценочные обязательства по выплате отпускных.</w:t>
      </w:r>
    </w:p>
    <w:p>
      <w:pPr>
        <w:pStyle w:val="44"/>
        <w:rPr>
          <w:rFonts w:ascii="Times New Roman" w:hAnsi="Times New Roman" w:cs="Times New Roman"/>
          <w:sz w:val="24"/>
          <w:szCs w:val="24"/>
        </w:rPr>
      </w:pPr>
      <w:r>
        <w:rPr>
          <w:rFonts w:ascii="Times New Roman" w:hAnsi="Times New Roman" w:cs="Times New Roman"/>
          <w:sz w:val="24"/>
          <w:szCs w:val="24"/>
        </w:rPr>
        <w:t>Оценочное обязательство по предстоящей оплате отпусков по состоянию на промежуточные отчетные даты и на 31 декабря отчетного года определяется по следующей формуле:</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ОценОбяз = СрЗар1 x Дн1 x (1 + СтВз1 / 100) + СрЗар2 x Дн2 x (1 + СтВз2 / 100) + ... + СрЗарi x Днi x (1 + СтВзi / 100) + ... + СрЗар</w:t>
      </w:r>
      <w:r>
        <w:rPr>
          <w:rFonts w:ascii="Times New Roman" w:hAnsi="Times New Roman" w:cs="Times New Roman"/>
          <w:sz w:val="24"/>
          <w:szCs w:val="24"/>
          <w:lang w:val="ru-RU"/>
        </w:rPr>
        <w:t>№</w:t>
      </w:r>
      <w:r>
        <w:rPr>
          <w:rFonts w:ascii="Times New Roman" w:hAnsi="Times New Roman" w:cs="Times New Roman"/>
          <w:sz w:val="24"/>
          <w:szCs w:val="24"/>
        </w:rPr>
        <w:t xml:space="preserve"> x Дн</w:t>
      </w:r>
      <w:r>
        <w:rPr>
          <w:rFonts w:ascii="Times New Roman" w:hAnsi="Times New Roman" w:cs="Times New Roman"/>
          <w:sz w:val="24"/>
          <w:szCs w:val="24"/>
          <w:lang w:val="ru-RU"/>
        </w:rPr>
        <w:t>№</w:t>
      </w:r>
      <w:r>
        <w:rPr>
          <w:rFonts w:ascii="Times New Roman" w:hAnsi="Times New Roman" w:cs="Times New Roman"/>
          <w:sz w:val="24"/>
          <w:szCs w:val="24"/>
        </w:rPr>
        <w:t xml:space="preserve"> x (1 + СтВз</w:t>
      </w:r>
      <w:r>
        <w:rPr>
          <w:rFonts w:ascii="Times New Roman" w:hAnsi="Times New Roman" w:cs="Times New Roman"/>
          <w:sz w:val="24"/>
          <w:szCs w:val="24"/>
          <w:lang w:val="ru-RU"/>
        </w:rPr>
        <w:t>№</w:t>
      </w:r>
      <w:r>
        <w:rPr>
          <w:rFonts w:ascii="Times New Roman" w:hAnsi="Times New Roman" w:cs="Times New Roman"/>
          <w:sz w:val="24"/>
          <w:szCs w:val="24"/>
        </w:rPr>
        <w:t xml:space="preserve"> / 100),</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где ОценОбяз - величина оценочного обязательства организации на соответствующую отчетную дату;</w:t>
      </w:r>
    </w:p>
    <w:p>
      <w:pPr>
        <w:pStyle w:val="44"/>
        <w:rPr>
          <w:rFonts w:ascii="Times New Roman" w:hAnsi="Times New Roman" w:cs="Times New Roman"/>
          <w:sz w:val="24"/>
          <w:szCs w:val="24"/>
        </w:rPr>
      </w:pPr>
      <w:r>
        <w:rPr>
          <w:rFonts w:ascii="Times New Roman" w:hAnsi="Times New Roman" w:cs="Times New Roman"/>
          <w:sz w:val="24"/>
          <w:szCs w:val="24"/>
        </w:rPr>
        <w:t xml:space="preserve">СрЗарi - средний дневной заработок i-го работника, исчисленный по состоянию на отчетную дату в соответствии с Положением об особенностях порядка исчисления средней заработной платы (утв. Постановлением Правительства РФ от 24.12.2007 </w:t>
      </w:r>
      <w:r>
        <w:rPr>
          <w:rFonts w:ascii="Times New Roman" w:hAnsi="Times New Roman" w:cs="Times New Roman"/>
          <w:sz w:val="24"/>
          <w:szCs w:val="24"/>
          <w:lang w:val="ru-RU"/>
        </w:rPr>
        <w:t>№</w:t>
      </w:r>
      <w:r>
        <w:rPr>
          <w:rFonts w:ascii="Times New Roman" w:hAnsi="Times New Roman" w:cs="Times New Roman"/>
          <w:sz w:val="24"/>
          <w:szCs w:val="24"/>
        </w:rPr>
        <w:t xml:space="preserve"> 922);</w:t>
      </w:r>
    </w:p>
    <w:p>
      <w:pPr>
        <w:pStyle w:val="44"/>
        <w:rPr>
          <w:rFonts w:ascii="Times New Roman" w:hAnsi="Times New Roman" w:cs="Times New Roman"/>
          <w:sz w:val="24"/>
          <w:szCs w:val="24"/>
        </w:rPr>
      </w:pPr>
      <w:r>
        <w:rPr>
          <w:rFonts w:ascii="Times New Roman" w:hAnsi="Times New Roman" w:cs="Times New Roman"/>
          <w:sz w:val="24"/>
          <w:szCs w:val="24"/>
        </w:rPr>
        <w:t>Днi - количество календарных дней отпуска, на которые i-й работник имеет право по состоянию на отчетную дату;</w:t>
      </w:r>
    </w:p>
    <w:p>
      <w:pPr>
        <w:pStyle w:val="44"/>
        <w:rPr>
          <w:rFonts w:ascii="Times New Roman" w:hAnsi="Times New Roman" w:cs="Times New Roman"/>
          <w:sz w:val="24"/>
          <w:szCs w:val="24"/>
        </w:rPr>
      </w:pPr>
      <w:r>
        <w:rPr>
          <w:rFonts w:ascii="Times New Roman" w:hAnsi="Times New Roman" w:cs="Times New Roman"/>
          <w:sz w:val="24"/>
          <w:szCs w:val="24"/>
        </w:rPr>
        <w:t>СтВзi - суммарная ставка страховых взносов (в процентах), применяемая к выплатам i-му работнику с 1-го числа следующего месяца;</w:t>
      </w:r>
    </w:p>
    <w:p>
      <w:pPr>
        <w:pStyle w:val="44"/>
        <w:rPr>
          <w:rFonts w:ascii="Times New Roman" w:hAnsi="Times New Roman" w:cs="Times New Roman"/>
          <w:sz w:val="24"/>
          <w:szCs w:val="24"/>
        </w:rPr>
      </w:pPr>
      <w:r>
        <w:rPr>
          <w:rFonts w:ascii="Times New Roman" w:hAnsi="Times New Roman" w:cs="Times New Roman"/>
          <w:sz w:val="24"/>
          <w:szCs w:val="24"/>
          <w:lang w:val="ru-RU"/>
        </w:rPr>
        <w:t>№</w:t>
      </w:r>
      <w:r>
        <w:rPr>
          <w:rFonts w:ascii="Times New Roman" w:hAnsi="Times New Roman" w:cs="Times New Roman"/>
          <w:sz w:val="24"/>
          <w:szCs w:val="24"/>
        </w:rPr>
        <w:t xml:space="preserve"> - количество работников на отчетную дату.</w:t>
      </w:r>
    </w:p>
    <w:p>
      <w:pPr>
        <w:pStyle w:val="44"/>
        <w:rPr>
          <w:rFonts w:ascii="Times New Roman" w:hAnsi="Times New Roman" w:cs="Times New Roman"/>
          <w:sz w:val="24"/>
          <w:szCs w:val="24"/>
        </w:rPr>
      </w:pPr>
      <w:r>
        <w:rPr>
          <w:rFonts w:ascii="Times New Roman" w:hAnsi="Times New Roman" w:cs="Times New Roman"/>
          <w:sz w:val="24"/>
          <w:szCs w:val="24"/>
        </w:rPr>
        <w:t>Если на отчетную дату величина оценочного обязательства по предстоящим выплатам отпускных работникам по данным бухгалтерского учета меньше, чем величина оценочного обязательства, определенная по приведенной формуле, оценочное обязательство увеличивается на разницу между этими величинами. Доначисленная сумма оценочного обязательства относится на расходы по обычным видам деятельности.</w:t>
      </w:r>
    </w:p>
    <w:p>
      <w:pPr>
        <w:pStyle w:val="44"/>
        <w:rPr>
          <w:rFonts w:ascii="Times New Roman" w:hAnsi="Times New Roman" w:cs="Times New Roman"/>
          <w:sz w:val="24"/>
          <w:szCs w:val="24"/>
        </w:rPr>
      </w:pPr>
      <w:r>
        <w:rPr>
          <w:rFonts w:ascii="Times New Roman" w:hAnsi="Times New Roman" w:cs="Times New Roman"/>
          <w:sz w:val="24"/>
          <w:szCs w:val="24"/>
        </w:rPr>
        <w:t>Если на отчетную дату величина оценочного обязательства по предстоящим выплатам отпускных работникам по данным бухгалтерского учета больше, чем величина оценочного обязательства, определенная по приведенной формуле, то оценочное обязательство уменьшается на разницу между этими величинами. Списанная сумма оценочного обязательства относится на прочие доходы.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15, 22, пп. "а", "б" п. 23 ПБУ 8/2010, абз. 9 разд. II, разд. IV, абз. 1 разд. V Рекомендации БМЦ Р-23/2011 КпР "Оценочные обязательства по расчетам с работниками", п. п. 16, 17 МСФО (IAS) 19)</w:t>
      </w:r>
    </w:p>
    <w:p>
      <w:pPr>
        <w:pStyle w:val="44"/>
        <w:rPr>
          <w:rFonts w:ascii="Times New Roman" w:hAnsi="Times New Roman" w:cs="Times New Roman"/>
          <w:sz w:val="24"/>
          <w:szCs w:val="24"/>
        </w:rPr>
      </w:pPr>
      <w:r>
        <w:rPr>
          <w:rFonts w:ascii="Times New Roman" w:hAnsi="Times New Roman" w:cs="Times New Roman"/>
          <w:sz w:val="24"/>
          <w:szCs w:val="24"/>
        </w:rPr>
        <w:t>12.2. Если предполагаемый срок исполнения оценочного обязательства превышает 12 месяцев, оно оценивается по дисконтированной стоимости, определяемой путем дисконтирования его величины.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20 ПБУ 8/2010)</w:t>
      </w:r>
    </w:p>
    <w:p>
      <w:pPr>
        <w:pStyle w:val="44"/>
        <w:rPr>
          <w:rFonts w:ascii="Times New Roman" w:hAnsi="Times New Roman" w:cs="Times New Roman"/>
          <w:sz w:val="24"/>
          <w:szCs w:val="24"/>
        </w:rPr>
      </w:pPr>
      <w:r>
        <w:rPr>
          <w:rFonts w:ascii="Times New Roman" w:hAnsi="Times New Roman" w:cs="Times New Roman"/>
          <w:sz w:val="24"/>
          <w:szCs w:val="24"/>
        </w:rPr>
        <w:t>В качестве ставки дисконтирования оценочных обязательств принимается эффективная доходность к погашению высоконадежных корпоративных облигаций, обращающихся на рынке ценных бумаг. При отсутствии по состоянию на отчетную дату обращающихся на рынке ценных бумаг высоконадежных корпоративных облигаций в качестве ставки дисконтирования принимается эффективная доходность к погашению государственных ценных бумаг (в том числе облигаций). При этом к рассмотрению принимаются ценные бумаги, сопоставимые по основным характеристикам (срок, валюта обязательства и т.п.) с соответствующими обязательствами.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"а" п. 20 ПБУ 8/2010, п. 7.1 ПБУ 1/2008, п. п. 83 - 86 МСФО (IAS) 19, абз. 9, 10 разд. III Рекомендации БМЦ Р-23/2011 КпР "Оценочные обязательства по расчетам с работниками")</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 Учетная политика. Аренда (лизинг)</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аренды ведется в соответствии с Федеральным стандартом бухгалтерского учета 25/2018 "Бухгалтерский учет аренды", утвержденным Приказом Минфина России от 16.10.2018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208н.</w:t>
      </w:r>
    </w:p>
    <w:p>
      <w:pPr>
        <w:pStyle w:val="44"/>
        <w:rPr>
          <w:rFonts w:ascii="Times New Roman" w:hAnsi="Times New Roman" w:cs="Times New Roman"/>
          <w:sz w:val="24"/>
          <w:szCs w:val="24"/>
        </w:rPr>
      </w:pPr>
      <w:r>
        <w:rPr>
          <w:rFonts w:ascii="Times New Roman" w:hAnsi="Times New Roman" w:cs="Times New Roman"/>
          <w:sz w:val="24"/>
          <w:szCs w:val="24"/>
        </w:rPr>
        <w:t>13.1. Учет при получении имущества в аренду.</w:t>
      </w:r>
    </w:p>
    <w:p>
      <w:pPr>
        <w:pStyle w:val="44"/>
        <w:rPr>
          <w:rFonts w:ascii="Times New Roman" w:hAnsi="Times New Roman" w:cs="Times New Roman"/>
          <w:sz w:val="24"/>
          <w:szCs w:val="24"/>
        </w:rPr>
      </w:pPr>
      <w:r>
        <w:rPr>
          <w:rFonts w:ascii="Times New Roman" w:hAnsi="Times New Roman" w:cs="Times New Roman"/>
          <w:sz w:val="24"/>
          <w:szCs w:val="24"/>
        </w:rPr>
        <w:t>13.1.1. Организация признает предмет аренды на дату получения предмета аренды в качестве права пользования активом с одновременным признанием обязательства по аренде. Право пользования активом отражается на субсчете "Права пользования активами" к счету 01 "Основные средства".</w:t>
      </w:r>
    </w:p>
    <w:p>
      <w:pPr>
        <w:pStyle w:val="44"/>
        <w:rPr>
          <w:rFonts w:ascii="Times New Roman" w:hAnsi="Times New Roman" w:cs="Times New Roman"/>
          <w:sz w:val="24"/>
          <w:szCs w:val="24"/>
        </w:rPr>
      </w:pPr>
      <w:r>
        <w:rPr>
          <w:rFonts w:ascii="Times New Roman" w:hAnsi="Times New Roman" w:cs="Times New Roman"/>
          <w:sz w:val="24"/>
          <w:szCs w:val="24"/>
        </w:rPr>
        <w:t>Стоимость права пользования погашается посредством амортизации, а величина обязательства по аренде увеличивается на сумму начисляемых процентов и уменьшается на сумму фактически уплаченных арендных платежей.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10, 17, 18 ФСБУ 25/2018)</w:t>
      </w:r>
    </w:p>
    <w:p>
      <w:pPr>
        <w:pStyle w:val="44"/>
        <w:rPr>
          <w:rFonts w:ascii="Times New Roman" w:hAnsi="Times New Roman" w:cs="Times New Roman"/>
          <w:sz w:val="24"/>
          <w:szCs w:val="24"/>
        </w:rPr>
      </w:pPr>
      <w:r>
        <w:rPr>
          <w:rFonts w:ascii="Times New Roman" w:hAnsi="Times New Roman" w:cs="Times New Roman"/>
          <w:sz w:val="24"/>
          <w:szCs w:val="24"/>
        </w:rPr>
        <w:t>13.1.2. В целях определения приведенной стоимости будущих арендных платежей в общем случае справедливой стоимостью предмета лизинга признается цена его приобретения лизингодателем у поставщика.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15 ФСБУ 25/2018, Рекомендация БМЦ Р-133/2021-ОК Лизинг)</w:t>
      </w:r>
    </w:p>
    <w:p>
      <w:pPr>
        <w:pStyle w:val="44"/>
        <w:rPr>
          <w:rFonts w:ascii="Times New Roman" w:hAnsi="Times New Roman" w:cs="Times New Roman"/>
          <w:sz w:val="24"/>
          <w:szCs w:val="24"/>
        </w:rPr>
      </w:pPr>
      <w:r>
        <w:rPr>
          <w:rFonts w:ascii="Times New Roman" w:hAnsi="Times New Roman" w:cs="Times New Roman"/>
          <w:sz w:val="24"/>
          <w:szCs w:val="24"/>
        </w:rPr>
        <w:t>13.1.3. В качестве упрощения практического характера неарендные компоненты договора аренды отдельно не выделяются. Каждый компонент аренды и соответствующие компоненты, не являющиеся арендой, учитываются в качестве одного компонента аренды.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15 IFRS 16, п. 6 Рекомендации БМЦ Р-130/2021-ОК Лизинг "Арендный и неарендный компоненты договора")</w:t>
      </w:r>
    </w:p>
    <w:p>
      <w:pPr>
        <w:pStyle w:val="44"/>
        <w:rPr>
          <w:rFonts w:ascii="Times New Roman" w:hAnsi="Times New Roman" w:cs="Times New Roman"/>
          <w:sz w:val="24"/>
          <w:szCs w:val="24"/>
        </w:rPr>
      </w:pPr>
      <w:r>
        <w:rPr>
          <w:rFonts w:ascii="Times New Roman" w:hAnsi="Times New Roman" w:cs="Times New Roman"/>
          <w:sz w:val="24"/>
          <w:szCs w:val="24"/>
        </w:rPr>
        <w:t>13.1.4. Арендные платежи, рассчитываемые на основе кадастровой стоимости, включаются в арендное обязательство в той части, в которой они являются неизбежными, и в вариативной части, которую возможно надежно оценить.</w:t>
      </w:r>
    </w:p>
    <w:p>
      <w:pPr>
        <w:pStyle w:val="44"/>
        <w:rPr>
          <w:rFonts w:ascii="Times New Roman" w:hAnsi="Times New Roman" w:cs="Times New Roman"/>
          <w:sz w:val="24"/>
          <w:szCs w:val="24"/>
        </w:rPr>
      </w:pPr>
      <w:r>
        <w:rPr>
          <w:rFonts w:ascii="Times New Roman" w:hAnsi="Times New Roman" w:cs="Times New Roman"/>
          <w:sz w:val="24"/>
          <w:szCs w:val="24"/>
        </w:rPr>
        <w:t>Неизбежной является сумма, рассчитанная на основе текущей кадастровой стоимости на дату начала аренды и коэффициента. Исключениями, указывающими, что неизбежная сумма меньше этой величины, являются:</w:t>
      </w:r>
    </w:p>
    <w:p>
      <w:pPr>
        <w:pStyle w:val="44"/>
        <w:rPr>
          <w:rFonts w:ascii="Times New Roman" w:hAnsi="Times New Roman" w:cs="Times New Roman"/>
          <w:sz w:val="24"/>
          <w:szCs w:val="24"/>
        </w:rPr>
      </w:pPr>
      <w:r>
        <w:rPr>
          <w:rFonts w:ascii="Times New Roman" w:hAnsi="Times New Roman" w:cs="Times New Roman"/>
          <w:sz w:val="24"/>
          <w:szCs w:val="24"/>
        </w:rPr>
        <w:t>а) опубликованные формулы (алгоритмы) расчета кадастровой стоимости, предполагающие ее уменьшение в будущем;</w:t>
      </w:r>
    </w:p>
    <w:p>
      <w:pPr>
        <w:pStyle w:val="44"/>
        <w:rPr>
          <w:rFonts w:ascii="Times New Roman" w:hAnsi="Times New Roman" w:cs="Times New Roman"/>
          <w:sz w:val="24"/>
          <w:szCs w:val="24"/>
        </w:rPr>
      </w:pPr>
      <w:r>
        <w:rPr>
          <w:rFonts w:ascii="Times New Roman" w:hAnsi="Times New Roman" w:cs="Times New Roman"/>
          <w:sz w:val="24"/>
          <w:szCs w:val="24"/>
        </w:rPr>
        <w:t>б) отложенные льготы (в том числе зависящие от условий использования арендуемого земельного участка);</w:t>
      </w:r>
    </w:p>
    <w:p>
      <w:pPr>
        <w:pStyle w:val="44"/>
        <w:rPr>
          <w:rFonts w:ascii="Times New Roman" w:hAnsi="Times New Roman" w:cs="Times New Roman"/>
          <w:sz w:val="24"/>
          <w:szCs w:val="24"/>
        </w:rPr>
      </w:pPr>
      <w:r>
        <w:rPr>
          <w:rFonts w:ascii="Times New Roman" w:hAnsi="Times New Roman" w:cs="Times New Roman"/>
          <w:sz w:val="24"/>
          <w:szCs w:val="24"/>
        </w:rPr>
        <w:t>в) специальные условия договора;</w:t>
      </w:r>
    </w:p>
    <w:p>
      <w:pPr>
        <w:pStyle w:val="44"/>
        <w:rPr>
          <w:rFonts w:ascii="Times New Roman" w:hAnsi="Times New Roman" w:cs="Times New Roman"/>
          <w:sz w:val="24"/>
          <w:szCs w:val="24"/>
        </w:rPr>
      </w:pPr>
      <w:r>
        <w:rPr>
          <w:rFonts w:ascii="Times New Roman" w:hAnsi="Times New Roman" w:cs="Times New Roman"/>
          <w:sz w:val="24"/>
          <w:szCs w:val="24"/>
        </w:rPr>
        <w:t>г) зависимость порядка расчета арендных платежей от показателей деятельности арендатора в будущем;</w:t>
      </w:r>
    </w:p>
    <w:p>
      <w:pPr>
        <w:pStyle w:val="44"/>
        <w:rPr>
          <w:rFonts w:ascii="Times New Roman" w:hAnsi="Times New Roman" w:cs="Times New Roman"/>
          <w:sz w:val="24"/>
          <w:szCs w:val="24"/>
        </w:rPr>
      </w:pPr>
      <w:r>
        <w:rPr>
          <w:rFonts w:ascii="Times New Roman" w:hAnsi="Times New Roman" w:cs="Times New Roman"/>
          <w:sz w:val="24"/>
          <w:szCs w:val="24"/>
        </w:rPr>
        <w:t>д) иные основания ожидать снижения размера арендных платежей в будущем.</w:t>
      </w:r>
    </w:p>
    <w:p>
      <w:pPr>
        <w:pStyle w:val="44"/>
        <w:rPr>
          <w:rFonts w:ascii="Times New Roman" w:hAnsi="Times New Roman" w:cs="Times New Roman"/>
          <w:sz w:val="24"/>
          <w:szCs w:val="24"/>
        </w:rPr>
      </w:pPr>
      <w:r>
        <w:rPr>
          <w:rFonts w:ascii="Times New Roman" w:hAnsi="Times New Roman" w:cs="Times New Roman"/>
          <w:sz w:val="24"/>
          <w:szCs w:val="24"/>
        </w:rPr>
        <w:t>Вариативная часть арендных платежей - это часть, рассчитываемая на основе прогнозируемых изменений кадастровой стоимости и коэффициента. Она включается в арендное обязательство при соблюдении следующих условий:</w:t>
      </w:r>
    </w:p>
    <w:p>
      <w:pPr>
        <w:pStyle w:val="44"/>
        <w:rPr>
          <w:rFonts w:ascii="Times New Roman" w:hAnsi="Times New Roman" w:cs="Times New Roman"/>
          <w:sz w:val="24"/>
          <w:szCs w:val="24"/>
        </w:rPr>
      </w:pPr>
      <w:r>
        <w:rPr>
          <w:rFonts w:ascii="Times New Roman" w:hAnsi="Times New Roman" w:cs="Times New Roman"/>
          <w:sz w:val="24"/>
          <w:szCs w:val="24"/>
        </w:rPr>
        <w:t>а) изменения кадастровой стоимости и (или) коэффициента зависят от прогнозируемых рыночных параметров, таких как темпы инфляции, и порядок определения кадастровой стоимости и коэффициента формализован настолько, что их можно рассматривать как аналог ценовых индексов;</w:t>
      </w:r>
    </w:p>
    <w:p>
      <w:pPr>
        <w:pStyle w:val="44"/>
        <w:rPr>
          <w:rFonts w:ascii="Times New Roman" w:hAnsi="Times New Roman" w:cs="Times New Roman"/>
          <w:sz w:val="24"/>
          <w:szCs w:val="24"/>
        </w:rPr>
      </w:pPr>
      <w:r>
        <w:rPr>
          <w:rFonts w:ascii="Times New Roman" w:hAnsi="Times New Roman" w:cs="Times New Roman"/>
          <w:sz w:val="24"/>
          <w:szCs w:val="24"/>
        </w:rPr>
        <w:t>б) указанные изменения не зависят от показателей деятельности арендатора;</w:t>
      </w:r>
    </w:p>
    <w:p>
      <w:pPr>
        <w:pStyle w:val="44"/>
        <w:rPr>
          <w:rFonts w:ascii="Times New Roman" w:hAnsi="Times New Roman" w:cs="Times New Roman"/>
          <w:sz w:val="24"/>
          <w:szCs w:val="24"/>
        </w:rPr>
      </w:pPr>
      <w:r>
        <w:rPr>
          <w:rFonts w:ascii="Times New Roman" w:hAnsi="Times New Roman" w:cs="Times New Roman"/>
          <w:sz w:val="24"/>
          <w:szCs w:val="24"/>
        </w:rPr>
        <w:t>в) кадастровая стоимость и (или) коэффициент изменяются на регулярной основе.</w:t>
      </w:r>
    </w:p>
    <w:p>
      <w:pPr>
        <w:pStyle w:val="44"/>
        <w:rPr>
          <w:rFonts w:ascii="Times New Roman" w:hAnsi="Times New Roman" w:cs="Times New Roman"/>
          <w:sz w:val="24"/>
          <w:szCs w:val="24"/>
        </w:rPr>
      </w:pPr>
      <w:r>
        <w:rPr>
          <w:rFonts w:ascii="Times New Roman" w:hAnsi="Times New Roman" w:cs="Times New Roman"/>
          <w:sz w:val="24"/>
          <w:szCs w:val="24"/>
        </w:rPr>
        <w:t>В иных случаях вариативная часть арендных платежей учитывается в расходах на момент наступления обязанности по уплате арендных платежей.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7.1</w:t>
      </w:r>
      <w:r>
        <w:rPr>
          <w:rFonts w:ascii="Times New Roman" w:hAnsi="Times New Roman" w:cs="Times New Roman"/>
          <w:sz w:val="24"/>
          <w:szCs w:val="24"/>
        </w:rPr>
        <w:t xml:space="preserve"> </w:t>
      </w:r>
      <w:r>
        <w:rPr>
          <w:rFonts w:ascii="Times New Roman" w:hAnsi="Times New Roman" w:cs="Times New Roman"/>
          <w:i/>
          <w:iCs/>
          <w:sz w:val="24"/>
          <w:szCs w:val="24"/>
        </w:rPr>
        <w:t>ПБУ 1/2008, Рекомендация БМЦ Р-140/2022-КпР "Арендные платежи, основанные на кадастровой стоимости")</w:t>
      </w:r>
    </w:p>
    <w:p>
      <w:pPr>
        <w:pStyle w:val="44"/>
        <w:rPr>
          <w:rFonts w:ascii="Times New Roman" w:hAnsi="Times New Roman" w:cs="Times New Roman"/>
          <w:sz w:val="24"/>
          <w:szCs w:val="24"/>
        </w:rPr>
      </w:pPr>
      <w:r>
        <w:rPr>
          <w:rFonts w:ascii="Times New Roman" w:hAnsi="Times New Roman" w:cs="Times New Roman"/>
          <w:sz w:val="24"/>
          <w:szCs w:val="24"/>
        </w:rPr>
        <w:t>13.1.5. Организация использует право не признавать предмет аренды в качестве права пользования активом и обязательство по аренде, если:</w:t>
      </w:r>
    </w:p>
    <w:p>
      <w:pPr>
        <w:pStyle w:val="44"/>
        <w:rPr>
          <w:rFonts w:ascii="Times New Roman" w:hAnsi="Times New Roman" w:cs="Times New Roman"/>
          <w:sz w:val="24"/>
          <w:szCs w:val="24"/>
        </w:rPr>
      </w:pPr>
      <w:r>
        <w:rPr>
          <w:rFonts w:ascii="Times New Roman" w:hAnsi="Times New Roman" w:cs="Times New Roman"/>
          <w:sz w:val="24"/>
          <w:szCs w:val="24"/>
        </w:rPr>
        <w:t>- срок аренды не превышает 12 месяцев на дату предоставления предмета аренды. Решение об использовании этого права по каждой группе однородных по характеру и способу использования предметов аренды, в отношении которых выполняются указанные ниже условия, принимается отдельно и закрепляется отдельным приказом руководителя;</w:t>
      </w:r>
    </w:p>
    <w:p>
      <w:pPr>
        <w:pStyle w:val="44"/>
        <w:rPr>
          <w:rFonts w:ascii="Times New Roman" w:hAnsi="Times New Roman" w:cs="Times New Roman"/>
          <w:sz w:val="24"/>
          <w:szCs w:val="24"/>
        </w:rPr>
      </w:pPr>
      <w:r>
        <w:rPr>
          <w:rFonts w:ascii="Times New Roman" w:hAnsi="Times New Roman" w:cs="Times New Roman"/>
          <w:sz w:val="24"/>
          <w:szCs w:val="24"/>
        </w:rPr>
        <w:t>- рыночная стоимость предмета аренды без учета износа (то есть стоимость аналогичного нового объекта)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 Решение об использовании этого права по каждому предмету аренды, в отношении которого выполняются указанные ниже условия, принимается отдельно и закрепляется отдельным приказом руководителя.</w:t>
      </w:r>
    </w:p>
    <w:p>
      <w:pPr>
        <w:pStyle w:val="44"/>
        <w:rPr>
          <w:rFonts w:ascii="Times New Roman" w:hAnsi="Times New Roman" w:cs="Times New Roman"/>
          <w:sz w:val="24"/>
          <w:szCs w:val="24"/>
        </w:rPr>
      </w:pPr>
      <w:r>
        <w:rPr>
          <w:rFonts w:ascii="Times New Roman" w:hAnsi="Times New Roman" w:cs="Times New Roman"/>
          <w:sz w:val="24"/>
          <w:szCs w:val="24"/>
        </w:rPr>
        <w:t>Право используется, если одновременно выполняются следующие условия:</w:t>
      </w:r>
    </w:p>
    <w:p>
      <w:pPr>
        <w:pStyle w:val="44"/>
        <w:rPr>
          <w:rFonts w:ascii="Times New Roman" w:hAnsi="Times New Roman" w:cs="Times New Roman"/>
          <w:sz w:val="24"/>
          <w:szCs w:val="24"/>
        </w:rPr>
      </w:pPr>
      <w:r>
        <w:rPr>
          <w:rFonts w:ascii="Times New Roman" w:hAnsi="Times New Roman" w:cs="Times New Roman"/>
          <w:sz w:val="24"/>
          <w:szCs w:val="24"/>
        </w:rPr>
        <w:t>1) договором не предусмотрен переход права собственности на предмет аренды к арендатору (а также отсутствует возможность выкупа арендатором предмета аренды по цене значительно ниже его справедливой стоимости на дату выкупа);</w:t>
      </w:r>
    </w:p>
    <w:p>
      <w:pPr>
        <w:pStyle w:val="44"/>
        <w:rPr>
          <w:rFonts w:ascii="Times New Roman" w:hAnsi="Times New Roman" w:cs="Times New Roman"/>
          <w:sz w:val="24"/>
          <w:szCs w:val="24"/>
        </w:rPr>
      </w:pPr>
      <w:r>
        <w:rPr>
          <w:rFonts w:ascii="Times New Roman" w:hAnsi="Times New Roman" w:cs="Times New Roman"/>
          <w:sz w:val="24"/>
          <w:szCs w:val="24"/>
        </w:rPr>
        <w:t>2) не предполагается предоставление предмета аренды в субаренду.</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11 и 12 ФСБУ 25/2018)</w:t>
      </w:r>
    </w:p>
    <w:p>
      <w:pPr>
        <w:pStyle w:val="44"/>
        <w:rPr>
          <w:rFonts w:ascii="Times New Roman" w:hAnsi="Times New Roman" w:cs="Times New Roman"/>
          <w:sz w:val="24"/>
          <w:szCs w:val="24"/>
        </w:rPr>
      </w:pPr>
      <w:r>
        <w:rPr>
          <w:rFonts w:ascii="Times New Roman" w:hAnsi="Times New Roman" w:cs="Times New Roman"/>
          <w:sz w:val="24"/>
          <w:szCs w:val="24"/>
        </w:rPr>
        <w:t>13.1.6. Если организация принимает решение не признавать право пользования активом и обязательство по аренде, то арендные платежи она учитывает в качестве расхода равномерно в течение срока действия договора аренды.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11 ФСБУ 25/2018)</w:t>
      </w:r>
    </w:p>
    <w:p>
      <w:pPr>
        <w:pStyle w:val="44"/>
        <w:rPr>
          <w:rFonts w:ascii="Times New Roman" w:hAnsi="Times New Roman" w:cs="Times New Roman"/>
          <w:sz w:val="24"/>
          <w:szCs w:val="24"/>
        </w:rPr>
      </w:pPr>
      <w:r>
        <w:rPr>
          <w:rFonts w:ascii="Times New Roman" w:hAnsi="Times New Roman" w:cs="Times New Roman"/>
          <w:sz w:val="24"/>
          <w:szCs w:val="24"/>
        </w:rPr>
        <w:t>13.1.7. Организация не переоценивает права пользования активами.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16 ФСБУ 25/2018)</w:t>
      </w:r>
    </w:p>
    <w:p>
      <w:pPr>
        <w:pStyle w:val="44"/>
        <w:rPr>
          <w:rFonts w:ascii="Times New Roman" w:hAnsi="Times New Roman" w:cs="Times New Roman"/>
          <w:sz w:val="24"/>
          <w:szCs w:val="24"/>
        </w:rPr>
      </w:pPr>
      <w:r>
        <w:rPr>
          <w:rFonts w:ascii="Times New Roman" w:hAnsi="Times New Roman" w:cs="Times New Roman"/>
          <w:sz w:val="24"/>
          <w:szCs w:val="24"/>
        </w:rPr>
        <w:t>13.2. Учет при передаче имущества в аренду.</w:t>
      </w:r>
    </w:p>
    <w:p>
      <w:pPr>
        <w:pStyle w:val="44"/>
        <w:rPr>
          <w:rFonts w:ascii="Times New Roman" w:hAnsi="Times New Roman" w:cs="Times New Roman"/>
          <w:sz w:val="24"/>
          <w:szCs w:val="24"/>
        </w:rPr>
      </w:pPr>
      <w:r>
        <w:rPr>
          <w:rFonts w:ascii="Times New Roman" w:hAnsi="Times New Roman" w:cs="Times New Roman"/>
          <w:sz w:val="24"/>
          <w:szCs w:val="24"/>
        </w:rPr>
        <w:t>13.2.1. Объекты учета аренды классифицируются в качестве объектов учета операционной аренды или объектов учета неоперационной (финансовой) аренды с учетом требования приоритета содержания перед формой.</w:t>
      </w:r>
    </w:p>
    <w:p>
      <w:pPr>
        <w:pStyle w:val="44"/>
        <w:rPr>
          <w:rFonts w:ascii="Times New Roman" w:hAnsi="Times New Roman" w:cs="Times New Roman"/>
          <w:sz w:val="24"/>
          <w:szCs w:val="24"/>
        </w:rPr>
      </w:pPr>
      <w:r>
        <w:rPr>
          <w:rFonts w:ascii="Times New Roman" w:hAnsi="Times New Roman" w:cs="Times New Roman"/>
          <w:sz w:val="24"/>
          <w:szCs w:val="24"/>
        </w:rPr>
        <w:t>При неоперационной (финансовой) аренде признается инвестиция в аренду в качестве актива на дату предоставления предмета аренды в размере ее чистой стоимости. Далее чистая стоимость инвестиции в аренду увеличивается на сумму начисляемых процентов и уменьшается на сумму фактически полученных арендных платежей.</w:t>
      </w:r>
    </w:p>
    <w:p>
      <w:pPr>
        <w:pStyle w:val="44"/>
        <w:rPr>
          <w:rFonts w:ascii="Times New Roman" w:hAnsi="Times New Roman" w:cs="Times New Roman"/>
          <w:sz w:val="24"/>
          <w:szCs w:val="24"/>
        </w:rPr>
      </w:pPr>
      <w:r>
        <w:rPr>
          <w:rFonts w:ascii="Times New Roman" w:hAnsi="Times New Roman" w:cs="Times New Roman"/>
          <w:sz w:val="24"/>
          <w:szCs w:val="24"/>
        </w:rPr>
        <w:t>При операционной аренде прежний порядок учета актива не изменяется в связи с его передачей в аренду, за исключением изменения оценочных значений.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24, 32, 36, 41 ФСБУ 25/2018)</w:t>
      </w:r>
    </w:p>
    <w:p>
      <w:pPr>
        <w:pStyle w:val="44"/>
        <w:rPr>
          <w:rFonts w:ascii="Times New Roman" w:hAnsi="Times New Roman" w:cs="Times New Roman"/>
          <w:sz w:val="24"/>
          <w:szCs w:val="24"/>
        </w:rPr>
      </w:pPr>
      <w:r>
        <w:rPr>
          <w:rFonts w:ascii="Times New Roman" w:hAnsi="Times New Roman" w:cs="Times New Roman"/>
          <w:sz w:val="24"/>
          <w:szCs w:val="24"/>
        </w:rPr>
        <w:t>13.2.2. Предварительные платежи по неоперационной (финансовой) аренде, полученные до даты предоставления предмета аренды арендатору, учитываются как авансы полученные. На дату предоставления предмета аренды они уменьшают чистую стоимость инвестиции, т.е. все взаимно обусловливающие активы и обязательства по одному договору оцениваются в сальдированной сумме, за исключением случаев, когда арендодатель не может произвести зачет по условиям договора. При досрочном получении текущих платежей порядок начисления процентов не меняется, если договором не предусмотрено соответствующее изменение графика платежей.</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32, 33, 36, 37 ФСБУ 25/2018, Рекомендация БМЦ Р-134/2021-ОК Лизинг "Авансы по финансовой аренде")</w:t>
      </w:r>
    </w:p>
    <w:p>
      <w:pPr>
        <w:pStyle w:val="44"/>
        <w:rPr>
          <w:rFonts w:ascii="Times New Roman" w:hAnsi="Times New Roman" w:cs="Times New Roman"/>
          <w:sz w:val="24"/>
          <w:szCs w:val="24"/>
        </w:rPr>
      </w:pPr>
      <w:r>
        <w:rPr>
          <w:rFonts w:ascii="Times New Roman" w:hAnsi="Times New Roman" w:cs="Times New Roman"/>
          <w:sz w:val="24"/>
          <w:szCs w:val="24"/>
        </w:rPr>
        <w:t>13.2.3. Доходы по операционной аренде признаются равномерно в течение срока действия договора аренды.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42 ФСБУ 25/2018)</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14. Учетная политика. Доходы и расходы</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доходов и расходов ведется в соответствии с Положением по бухгалтерскому учету "Доходы организации" ПБУ 9/99, утвержденным Приказом Минфина России от 06.05.1999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32н, Положением по бухгалтерскому учету "Расходы организации" ПБУ 10/99, утвержденным Приказом Минфина России от 06.05.1999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33н.</w:t>
      </w:r>
    </w:p>
    <w:p>
      <w:pPr>
        <w:pStyle w:val="44"/>
        <w:rPr>
          <w:rFonts w:ascii="Times New Roman" w:hAnsi="Times New Roman" w:cs="Times New Roman"/>
          <w:sz w:val="24"/>
          <w:szCs w:val="24"/>
        </w:rPr>
      </w:pPr>
      <w:r>
        <w:rPr>
          <w:rFonts w:ascii="Times New Roman" w:hAnsi="Times New Roman" w:cs="Times New Roman"/>
          <w:sz w:val="24"/>
          <w:szCs w:val="24"/>
        </w:rPr>
        <w:t>14.1. Доходы.</w:t>
      </w:r>
    </w:p>
    <w:p>
      <w:pPr>
        <w:pStyle w:val="44"/>
        <w:rPr>
          <w:rFonts w:ascii="Times New Roman" w:hAnsi="Times New Roman" w:cs="Times New Roman"/>
          <w:sz w:val="24"/>
          <w:szCs w:val="24"/>
        </w:rPr>
      </w:pPr>
      <w:r>
        <w:rPr>
          <w:rFonts w:ascii="Times New Roman" w:hAnsi="Times New Roman" w:cs="Times New Roman"/>
          <w:sz w:val="24"/>
          <w:szCs w:val="24"/>
        </w:rPr>
        <w:t>14.1.1. В качестве доходов по обычным видам деятельности учитывается выручка от продажи продукции, оказания транспортных услуг по договорам поставки готовой продукции.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6 п. 4 ПБУ 9/99)</w:t>
      </w:r>
    </w:p>
    <w:p>
      <w:pPr>
        <w:pStyle w:val="44"/>
        <w:rPr>
          <w:rFonts w:ascii="Times New Roman" w:hAnsi="Times New Roman" w:cs="Times New Roman"/>
          <w:sz w:val="24"/>
          <w:szCs w:val="24"/>
        </w:rPr>
      </w:pPr>
      <w:r>
        <w:rPr>
          <w:rFonts w:ascii="Times New Roman" w:hAnsi="Times New Roman" w:cs="Times New Roman"/>
          <w:sz w:val="24"/>
          <w:szCs w:val="24"/>
        </w:rPr>
        <w:t>14.1.2. Дивиденды (доходы от участия в других организациях) включаются в состав доходов организации на дату распределения прибыли в сумме, определенной в соответствии с решением о распределении прибыли.</w:t>
      </w:r>
    </w:p>
    <w:p>
      <w:pPr>
        <w:pStyle w:val="44"/>
        <w:rPr>
          <w:rFonts w:ascii="Times New Roman" w:hAnsi="Times New Roman" w:cs="Times New Roman"/>
          <w:sz w:val="24"/>
          <w:szCs w:val="24"/>
        </w:rPr>
      </w:pPr>
      <w:r>
        <w:rPr>
          <w:rFonts w:ascii="Times New Roman" w:hAnsi="Times New Roman" w:cs="Times New Roman"/>
          <w:sz w:val="24"/>
          <w:szCs w:val="24"/>
        </w:rPr>
        <w:t>Если у организации отсутствует информация о сумме распределенных дивидендов (доходов от участия в других организациях) и (или) сумме подлежащего удержанию налога, дивиденды (доходы от участия в других организациях) включаются в состав доходов организации на дату их непосредственного получения в фактически поступившем размере.</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п. 6, 10.1, 12, 16 ПБУ 9/99, Письмо Минфина России от 19.12.2006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07-05-06/302)</w:t>
      </w:r>
    </w:p>
    <w:p>
      <w:pPr>
        <w:pStyle w:val="44"/>
        <w:rPr>
          <w:rFonts w:ascii="Times New Roman" w:hAnsi="Times New Roman" w:cs="Times New Roman"/>
          <w:sz w:val="24"/>
          <w:szCs w:val="24"/>
        </w:rPr>
      </w:pPr>
      <w:r>
        <w:rPr>
          <w:rFonts w:ascii="Times New Roman" w:hAnsi="Times New Roman" w:cs="Times New Roman"/>
          <w:sz w:val="24"/>
          <w:szCs w:val="24"/>
        </w:rPr>
        <w:t>14.2. Расходы.</w:t>
      </w:r>
    </w:p>
    <w:p>
      <w:pPr>
        <w:pStyle w:val="44"/>
        <w:rPr>
          <w:rFonts w:ascii="Times New Roman" w:hAnsi="Times New Roman" w:cs="Times New Roman"/>
          <w:sz w:val="24"/>
          <w:szCs w:val="24"/>
        </w:rPr>
      </w:pPr>
      <w:r>
        <w:rPr>
          <w:rFonts w:ascii="Times New Roman" w:hAnsi="Times New Roman" w:cs="Times New Roman"/>
          <w:sz w:val="24"/>
          <w:szCs w:val="24"/>
        </w:rPr>
        <w:t>14.2.1. В качестве расходов по обычным видам деятельности учитываются расходы, связанные с получением доходов по обычным видам деятельности, перечень которых установлен в Учетной политике.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4, 5 ПБУ 10/99)</w:t>
      </w:r>
    </w:p>
    <w:p>
      <w:pPr>
        <w:pStyle w:val="44"/>
        <w:rPr>
          <w:rFonts w:ascii="Times New Roman" w:hAnsi="Times New Roman" w:cs="Times New Roman"/>
          <w:sz w:val="24"/>
          <w:szCs w:val="24"/>
        </w:rPr>
      </w:pPr>
      <w:r>
        <w:rPr>
          <w:rFonts w:ascii="Times New Roman" w:hAnsi="Times New Roman" w:cs="Times New Roman"/>
          <w:sz w:val="24"/>
          <w:szCs w:val="24"/>
        </w:rPr>
        <w:t>14.2.2. Расходы, учтенные на счете 44 "Расходы на продажу", ежемесячно списываются в дебет счета 90 "Продажи" в полной сумме.</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абз. 2 п. 9 ПБУ 10/99, Инструкция по применению Плана счетов (пояснения к счету 44))</w:t>
      </w:r>
    </w:p>
    <w:p>
      <w:pPr>
        <w:pStyle w:val="44"/>
        <w:rPr>
          <w:rFonts w:ascii="Times New Roman" w:hAnsi="Times New Roman" w:cs="Times New Roman"/>
          <w:sz w:val="24"/>
          <w:szCs w:val="24"/>
        </w:rPr>
      </w:pPr>
      <w:r>
        <w:rPr>
          <w:rFonts w:ascii="Times New Roman" w:hAnsi="Times New Roman" w:cs="Times New Roman"/>
          <w:sz w:val="24"/>
          <w:szCs w:val="24"/>
        </w:rPr>
        <w:t>14.2.3. Суммы страховых премий, уплаченные организацией в соответствии с договорами страхования, учитываются в качестве предварительной оплаты. Расход признается по мере потребления страховых услуг, то есть по мере истечения периода страхования.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3, 16 ПБУ 10/99 "Расходы организации", Рекомендация БМЦ Р-13/2011 КпР "Договор страхования у страхователя")</w:t>
      </w:r>
    </w:p>
    <w:p>
      <w:pPr>
        <w:pStyle w:val="44"/>
        <w:rPr>
          <w:rFonts w:ascii="Times New Roman" w:hAnsi="Times New Roman" w:cs="Times New Roman"/>
          <w:sz w:val="24"/>
          <w:szCs w:val="24"/>
        </w:rPr>
      </w:pPr>
      <w:r>
        <w:rPr>
          <w:rFonts w:ascii="Times New Roman" w:hAnsi="Times New Roman" w:cs="Times New Roman"/>
          <w:sz w:val="24"/>
          <w:szCs w:val="24"/>
        </w:rPr>
        <w:t>Суммы потерь по страховым случаям включаются в состав прочих расходов организации на дату возникновения (выявления). Страховые возмещения, подлежащие получению организацией от страховщиков в соответствии с договорами страхования, в полной сумме включаются в состав прочих доходов.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13, 16, 17, 18 ПБУ 10/99, п. п. 7, 10.2 ПБУ 9/99, п. п. 38, 41 ФСБУ 6/2020)</w:t>
      </w:r>
    </w:p>
    <w:p>
      <w:pPr>
        <w:pStyle w:val="44"/>
        <w:rPr>
          <w:rFonts w:ascii="Times New Roman" w:hAnsi="Times New Roman" w:cs="Times New Roman"/>
          <w:sz w:val="24"/>
          <w:szCs w:val="24"/>
        </w:rPr>
      </w:pPr>
      <w:r>
        <w:rPr>
          <w:rFonts w:ascii="Times New Roman" w:hAnsi="Times New Roman" w:cs="Times New Roman"/>
          <w:sz w:val="24"/>
          <w:szCs w:val="24"/>
        </w:rPr>
        <w:t>14.2.4. Суммы недостач и потерь от порчи ценностей, превышающие нормы естественной убыли и предусмотренные в договоре величины, включаются в состав прочих расходов организации на дату возникновения (выявления). Суммы возмещения недостач и потерь от порчи, признанные виновными лицами или присужденные к уплате судом, полностью включаются в состав прочих доходов на дату признания задолженности виновным лицом или на дату вступления в силу решения суда.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16, 17 ПБУ 10/99, п. п. 7, 10.2 ПБУ 9/99)</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15. Учетная политика. Активы, обязательства,</w:t>
      </w:r>
    </w:p>
    <w:p>
      <w:pPr>
        <w:pStyle w:val="44"/>
        <w:jc w:val="center"/>
        <w:rPr>
          <w:rFonts w:ascii="Times New Roman" w:hAnsi="Times New Roman" w:cs="Times New Roman"/>
          <w:sz w:val="24"/>
          <w:szCs w:val="24"/>
        </w:rPr>
      </w:pPr>
      <w:r>
        <w:rPr>
          <w:rFonts w:ascii="Times New Roman" w:hAnsi="Times New Roman" w:cs="Times New Roman"/>
          <w:b/>
          <w:bCs/>
          <w:sz w:val="24"/>
          <w:szCs w:val="24"/>
        </w:rPr>
        <w:t>доходы, расходы, выраженные в иностранной валюте</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активов и обязательств, выраженных в иностранной валюте, и курсовых разниц ведется в соответствии с Положением по бухгалтерскому учету "Учет активов и обязательств, стоимость которых выражена в иностранной валюте" (ПБУ 3/2006), утвержденным Приказом Минфина России от 27.11.2006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154н.</w:t>
      </w:r>
    </w:p>
    <w:p>
      <w:pPr>
        <w:pStyle w:val="44"/>
        <w:rPr>
          <w:rFonts w:ascii="Times New Roman" w:hAnsi="Times New Roman" w:cs="Times New Roman"/>
          <w:sz w:val="24"/>
          <w:szCs w:val="24"/>
        </w:rPr>
      </w:pPr>
      <w:r>
        <w:rPr>
          <w:rFonts w:ascii="Times New Roman" w:hAnsi="Times New Roman" w:cs="Times New Roman"/>
          <w:sz w:val="24"/>
          <w:szCs w:val="24"/>
        </w:rPr>
        <w:t>15.1. Пересчет в рубли выраженных в иностранной валюте стоимости активов и обязательств, суммы доходов и расходов производится по официальному курсу этой валюты к рублю, устанавливаемому Банком России и действующему на дату совершения операции в иностранной валюте.</w:t>
      </w:r>
    </w:p>
    <w:p>
      <w:pPr>
        <w:pStyle w:val="44"/>
        <w:rPr>
          <w:rFonts w:ascii="Times New Roman" w:hAnsi="Times New Roman" w:cs="Times New Roman"/>
          <w:sz w:val="24"/>
          <w:szCs w:val="24"/>
        </w:rPr>
      </w:pPr>
      <w:r>
        <w:rPr>
          <w:rFonts w:ascii="Times New Roman" w:hAnsi="Times New Roman" w:cs="Times New Roman"/>
          <w:sz w:val="24"/>
          <w:szCs w:val="24"/>
        </w:rPr>
        <w:t>Пересчет по среднему курсу за период не производится.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4, 5, 6 ПБУ 3/2006)</w:t>
      </w:r>
    </w:p>
    <w:p>
      <w:pPr>
        <w:pStyle w:val="44"/>
        <w:rPr>
          <w:rFonts w:ascii="Times New Roman" w:hAnsi="Times New Roman" w:cs="Times New Roman"/>
          <w:sz w:val="24"/>
          <w:szCs w:val="24"/>
        </w:rPr>
      </w:pPr>
      <w:r>
        <w:rPr>
          <w:rFonts w:ascii="Times New Roman" w:hAnsi="Times New Roman" w:cs="Times New Roman"/>
          <w:sz w:val="24"/>
          <w:szCs w:val="24"/>
        </w:rPr>
        <w:t>15.2. Пересчет стоимости денежных знаков в кассе организации и средств на банковских счетах, выраженной в иностранной валюте, в рубли производится только на дату совершения операции в иностранной валюте, а также на отчетную дату. По мере изменения курса пересчет не производится.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 ПБУ 3/2006)</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16. Учетная политика. Государственная помощь</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Учет государственной помощи ведется в соответствии с Положением по бухгалтерскому учету "Учет государственной помощи" ПБУ 13/2000, утвержденным Приказом Минфина России от 16.10.2000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92н.</w:t>
      </w:r>
    </w:p>
    <w:p>
      <w:pPr>
        <w:pStyle w:val="44"/>
        <w:rPr>
          <w:rFonts w:ascii="Times New Roman" w:hAnsi="Times New Roman" w:cs="Times New Roman"/>
          <w:sz w:val="24"/>
          <w:szCs w:val="24"/>
        </w:rPr>
      </w:pPr>
      <w:r>
        <w:rPr>
          <w:rFonts w:ascii="Times New Roman" w:hAnsi="Times New Roman" w:cs="Times New Roman"/>
          <w:sz w:val="24"/>
          <w:szCs w:val="24"/>
        </w:rPr>
        <w:t>16.1. Бюджетные средства признаются в бухгалтерском учете при одновременном выполнении следующих условий:</w:t>
      </w:r>
    </w:p>
    <w:p>
      <w:pPr>
        <w:pStyle w:val="44"/>
        <w:rPr>
          <w:rFonts w:ascii="Times New Roman" w:hAnsi="Times New Roman" w:cs="Times New Roman"/>
          <w:sz w:val="24"/>
          <w:szCs w:val="24"/>
        </w:rPr>
      </w:pPr>
      <w:r>
        <w:rPr>
          <w:rFonts w:ascii="Times New Roman" w:hAnsi="Times New Roman" w:cs="Times New Roman"/>
          <w:sz w:val="24"/>
          <w:szCs w:val="24"/>
        </w:rPr>
        <w:t>- имеется уверенность, что организация выполнит условия предоставления средств;</w:t>
      </w:r>
    </w:p>
    <w:p>
      <w:pPr>
        <w:pStyle w:val="44"/>
        <w:rPr>
          <w:rFonts w:ascii="Times New Roman" w:hAnsi="Times New Roman" w:cs="Times New Roman"/>
          <w:sz w:val="24"/>
          <w:szCs w:val="24"/>
        </w:rPr>
      </w:pPr>
      <w:r>
        <w:rPr>
          <w:rFonts w:ascii="Times New Roman" w:hAnsi="Times New Roman" w:cs="Times New Roman"/>
          <w:sz w:val="24"/>
          <w:szCs w:val="24"/>
        </w:rPr>
        <w:t>- имеется уверенность, что средства будут получены.</w:t>
      </w:r>
    </w:p>
    <w:p>
      <w:pPr>
        <w:pStyle w:val="44"/>
        <w:rPr>
          <w:rFonts w:ascii="Times New Roman" w:hAnsi="Times New Roman" w:cs="Times New Roman"/>
          <w:sz w:val="24"/>
          <w:szCs w:val="24"/>
        </w:rPr>
      </w:pPr>
      <w:r>
        <w:rPr>
          <w:rFonts w:ascii="Times New Roman" w:hAnsi="Times New Roman" w:cs="Times New Roman"/>
          <w:sz w:val="24"/>
          <w:szCs w:val="24"/>
        </w:rPr>
        <w:t>При отсутствии такой уверенности бюджетные средства признаются в бухгалтерском учете по мере их фактического получения.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5, 7, 12 ПБУ 13/2000)</w:t>
      </w:r>
    </w:p>
    <w:p>
      <w:pPr>
        <w:pStyle w:val="44"/>
        <w:rPr>
          <w:rFonts w:ascii="Times New Roman" w:hAnsi="Times New Roman" w:cs="Times New Roman"/>
          <w:sz w:val="24"/>
          <w:szCs w:val="24"/>
        </w:rPr>
      </w:pPr>
      <w:r>
        <w:rPr>
          <w:rFonts w:ascii="Times New Roman" w:hAnsi="Times New Roman" w:cs="Times New Roman"/>
          <w:sz w:val="24"/>
          <w:szCs w:val="24"/>
        </w:rPr>
        <w:t>16.2. Поступление бюджетных средств на финансирование уже понесенных расходов отражается с использованием счета 86 "Целевое финансирование" в том же порядке, что и поступление бюджетных средств на финансирование предстоящих расходов.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7, 10 ПБУ 13/2000, п. 6 Положения по бухгалтерскому учету "Учетная политика организации" ПБУ 1/2008)</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17. Учетная политика. Бухгалтерская отчетность</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 xml:space="preserve">При составлении бухгалтерской отчетности организация руководствуется нормами Федерального стандарта бухгалтерского учета ФСБУ 4/2023 "Бухгалтерская (финансовая) отчетность", утвержденного Приказом Минфина России от 04.10.2023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157н, Положения по бухгалтерскому учету "Отчет о движении денежных средств" (ПБУ 23/2011), утвержденного Приказом Минфина России от 02.02.2011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11н, а также требованиями к раскрытию информации в бухгалтерской отчетности, содержащимися в других стандартах по бухгалтерскому учету.</w:t>
      </w:r>
    </w:p>
    <w:p>
      <w:pPr>
        <w:pStyle w:val="44"/>
        <w:rPr>
          <w:rFonts w:ascii="Times New Roman" w:hAnsi="Times New Roman" w:cs="Times New Roman"/>
          <w:sz w:val="24"/>
          <w:szCs w:val="24"/>
        </w:rPr>
      </w:pPr>
      <w:r>
        <w:rPr>
          <w:rFonts w:ascii="Times New Roman" w:hAnsi="Times New Roman" w:cs="Times New Roman"/>
          <w:sz w:val="24"/>
          <w:szCs w:val="24"/>
        </w:rPr>
        <w:t xml:space="preserve">17.1. Формы бухгалтерской отчетности, применяемые организацией и основанные на формах из Приложений </w:t>
      </w:r>
      <w:r>
        <w:rPr>
          <w:rFonts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sz w:val="24"/>
          <w:szCs w:val="24"/>
          <w:lang w:val="ru-RU"/>
        </w:rPr>
        <w:t>№</w:t>
      </w:r>
      <w:r>
        <w:rPr>
          <w:rFonts w:ascii="Times New Roman" w:hAnsi="Times New Roman" w:cs="Times New Roman"/>
          <w:sz w:val="24"/>
          <w:szCs w:val="24"/>
        </w:rPr>
        <w:t xml:space="preserve"> 3 - 8 к ФСБУ 4/2023, приведены в разд. 5 Приложения к Учетной политике.</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62 ФСБУ 4/2023)</w:t>
      </w:r>
    </w:p>
    <w:p>
      <w:pPr>
        <w:pStyle w:val="44"/>
        <w:rPr>
          <w:rFonts w:ascii="Times New Roman" w:hAnsi="Times New Roman" w:cs="Times New Roman"/>
          <w:sz w:val="24"/>
          <w:szCs w:val="24"/>
        </w:rPr>
      </w:pPr>
      <w:r>
        <w:rPr>
          <w:rFonts w:ascii="Times New Roman" w:hAnsi="Times New Roman" w:cs="Times New Roman"/>
          <w:sz w:val="24"/>
          <w:szCs w:val="24"/>
        </w:rPr>
        <w:t>17.2. Организация ежеквартально составляет промежуточную бухгалтерскую отчетность для представления органам управления, учредителям (участникам, акционерам), кредиторам и иным заинтересованным пользователям. Она составляется в общем порядке.</w:t>
      </w:r>
    </w:p>
    <w:p>
      <w:pPr>
        <w:pStyle w:val="44"/>
        <w:rPr>
          <w:rFonts w:ascii="Times New Roman" w:hAnsi="Times New Roman" w:cs="Times New Roman"/>
          <w:i/>
          <w:iCs/>
          <w:sz w:val="24"/>
          <w:szCs w:val="24"/>
        </w:rPr>
      </w:pPr>
      <w:r>
        <w:rPr>
          <w:rFonts w:ascii="Times New Roman" w:hAnsi="Times New Roman" w:cs="Times New Roman"/>
          <w:i/>
          <w:iCs/>
          <w:sz w:val="24"/>
          <w:szCs w:val="24"/>
        </w:rPr>
        <w:t xml:space="preserve">(Основание: ч. 4, 5 ст. 13 Федерального закона от 06.12.2011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402-ФЗ "О бухгалтерском учете", пп. "а" п. 56 ФСБУ 4/2023)</w:t>
      </w:r>
    </w:p>
    <w:p>
      <w:pPr>
        <w:pStyle w:val="44"/>
        <w:rPr>
          <w:rFonts w:ascii="Times New Roman" w:hAnsi="Times New Roman" w:cs="Times New Roman"/>
          <w:sz w:val="24"/>
          <w:szCs w:val="24"/>
        </w:rPr>
      </w:pPr>
      <w:r>
        <w:rPr>
          <w:rFonts w:ascii="Times New Roman" w:hAnsi="Times New Roman" w:cs="Times New Roman"/>
          <w:sz w:val="24"/>
          <w:szCs w:val="24"/>
        </w:rPr>
        <w:t>17.3. Существенность показателей отчетности и ошибок.</w:t>
      </w:r>
    </w:p>
    <w:p>
      <w:pPr>
        <w:pStyle w:val="44"/>
        <w:rPr>
          <w:rFonts w:ascii="Times New Roman" w:hAnsi="Times New Roman" w:cs="Times New Roman"/>
          <w:sz w:val="24"/>
          <w:szCs w:val="24"/>
        </w:rPr>
      </w:pPr>
      <w:r>
        <w:rPr>
          <w:rFonts w:ascii="Times New Roman" w:hAnsi="Times New Roman" w:cs="Times New Roman"/>
          <w:sz w:val="24"/>
          <w:szCs w:val="24"/>
        </w:rPr>
        <w:t xml:space="preserve">17.3.1. Показатель является существенным и приводится обособленно в бухгалтерской отчетности, если его нераскрытие может повлиять на экономические решения заинтересованных пользователей, принимаемые на основе отчетной информации. В целях детализации показателей отчетности считается, что показатель является существенным, если его величина составляет 10% и более от </w:t>
      </w:r>
      <w:bookmarkStart w:id="0" w:name="_Hlk182394059"/>
      <w:r>
        <w:rPr>
          <w:rFonts w:ascii="Times New Roman" w:hAnsi="Times New Roman" w:cs="Times New Roman"/>
          <w:sz w:val="24"/>
          <w:szCs w:val="24"/>
        </w:rPr>
        <w:t>детализируемого</w:t>
      </w:r>
      <w:bookmarkEnd w:id="0"/>
      <w:r>
        <w:rPr>
          <w:rFonts w:ascii="Times New Roman" w:hAnsi="Times New Roman" w:cs="Times New Roman"/>
          <w:sz w:val="24"/>
          <w:szCs w:val="24"/>
        </w:rPr>
        <w:t>. Показатели, составляющие менее 10% от детализируемого, приводятся обособленно в случае, если это обусловлено их особым характером либо обстоятельствами возникновения.</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10, пп. "д", "е" п. 69 ФСБУ 4/2023)</w:t>
      </w:r>
    </w:p>
    <w:p>
      <w:pPr>
        <w:pStyle w:val="44"/>
        <w:rPr>
          <w:rFonts w:ascii="Times New Roman" w:hAnsi="Times New Roman" w:cs="Times New Roman"/>
          <w:sz w:val="24"/>
          <w:szCs w:val="24"/>
        </w:rPr>
      </w:pPr>
      <w:r>
        <w:rPr>
          <w:rFonts w:ascii="Times New Roman" w:hAnsi="Times New Roman" w:cs="Times New Roman"/>
          <w:sz w:val="24"/>
          <w:szCs w:val="24"/>
        </w:rPr>
        <w:t>17.3.2. Ошибка признается существенной, если она в отдельности или в совокупности с другими ошибками за один и тот же отчетный период приводит к искажению показателя отчетности не менее чем на 10%. С учетом характера показателя бухгалтерской отчетности существенной может быть признана ошибка, приводящая и к меньшему размеру искажения.</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3 ПБУ 22/2010)</w:t>
      </w:r>
    </w:p>
    <w:p>
      <w:pPr>
        <w:pStyle w:val="44"/>
        <w:rPr>
          <w:rFonts w:ascii="Times New Roman" w:hAnsi="Times New Roman" w:cs="Times New Roman"/>
          <w:sz w:val="24"/>
          <w:szCs w:val="24"/>
        </w:rPr>
      </w:pPr>
      <w:r>
        <w:rPr>
          <w:rFonts w:ascii="Times New Roman" w:hAnsi="Times New Roman" w:cs="Times New Roman"/>
          <w:sz w:val="24"/>
          <w:szCs w:val="24"/>
        </w:rPr>
        <w:t>17.4. Бухгалтерский баланс.</w:t>
      </w:r>
    </w:p>
    <w:p>
      <w:pPr>
        <w:pStyle w:val="44"/>
        <w:rPr>
          <w:rFonts w:ascii="Times New Roman" w:hAnsi="Times New Roman" w:cs="Times New Roman"/>
          <w:sz w:val="24"/>
          <w:szCs w:val="24"/>
        </w:rPr>
      </w:pPr>
      <w:r>
        <w:rPr>
          <w:rFonts w:ascii="Times New Roman" w:hAnsi="Times New Roman" w:cs="Times New Roman"/>
          <w:sz w:val="24"/>
          <w:szCs w:val="24"/>
        </w:rPr>
        <w:t>17.4.1. Незавершенные капитальные вложения в объекты ОС, включаются в показатель основных средств бухгалтерского баланса и в случае существенности расшифровываются в пояснениях.</w:t>
      </w:r>
    </w:p>
    <w:p>
      <w:pPr>
        <w:pStyle w:val="44"/>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НМА включаются в показатель нематериальных активов бухгалтерского баланса и в случае существенности расшифровываются в пояснениях.</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9 ФСБУ 4/2023, Образец формы бухгалтерского баланса)</w:t>
      </w:r>
    </w:p>
    <w:p>
      <w:pPr>
        <w:pStyle w:val="44"/>
        <w:rPr>
          <w:rFonts w:ascii="Times New Roman" w:hAnsi="Times New Roman" w:cs="Times New Roman"/>
          <w:sz w:val="24"/>
          <w:szCs w:val="24"/>
        </w:rPr>
      </w:pPr>
      <w:r>
        <w:rPr>
          <w:rFonts w:ascii="Times New Roman" w:hAnsi="Times New Roman" w:cs="Times New Roman"/>
          <w:sz w:val="24"/>
          <w:szCs w:val="24"/>
        </w:rPr>
        <w:t>17.4.2. В бухгалтерском балансе суммы авансов и предоплат, перечисленные поставщикам и подрядчикам, а также полученные от заказчиков и покупателей, отражаются за вычетом НДС.</w:t>
      </w:r>
    </w:p>
    <w:p>
      <w:pPr>
        <w:pStyle w:val="44"/>
        <w:rPr>
          <w:rFonts w:ascii="Times New Roman" w:hAnsi="Times New Roman" w:cs="Times New Roman"/>
          <w:i/>
          <w:iCs/>
          <w:sz w:val="24"/>
          <w:szCs w:val="24"/>
        </w:rPr>
      </w:pPr>
      <w:r>
        <w:rPr>
          <w:rFonts w:ascii="Times New Roman" w:hAnsi="Times New Roman" w:cs="Times New Roman"/>
          <w:i/>
          <w:iCs/>
          <w:sz w:val="24"/>
          <w:szCs w:val="24"/>
        </w:rPr>
        <w:t xml:space="preserve">(Основание: Приложение к Письму Минфина России от 09.01.2013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07-02-18/01 (раздел "Оценка задолженности по уплаченным (полученным) авансам (предварительной оплате)"), Рекомендация БМЦ Р-29/2013-КпР "НДС с авансов выданных и полученных")</w:t>
      </w:r>
    </w:p>
    <w:p>
      <w:pPr>
        <w:pStyle w:val="44"/>
        <w:rPr>
          <w:rFonts w:ascii="Times New Roman" w:hAnsi="Times New Roman" w:cs="Times New Roman"/>
          <w:sz w:val="24"/>
          <w:szCs w:val="24"/>
        </w:rPr>
      </w:pPr>
      <w:r>
        <w:rPr>
          <w:rFonts w:ascii="Times New Roman" w:hAnsi="Times New Roman" w:cs="Times New Roman"/>
          <w:sz w:val="24"/>
          <w:szCs w:val="24"/>
        </w:rPr>
        <w:t>17.4.3. В бухгалтерском балансе отражается сальдированная (свернутая) сумма отложенного налогового актива и отложенного налогового обязательства, кроме случаев, когда в законодательстве РФ о налогах и сборах предусмотрено раздельное формирование налоговой базы.</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Таким случаем, например, являются операции с необращающимися ценными бумагами и необращающимися производными финансовыми инструментами.</w:t>
      </w:r>
    </w:p>
    <w:p>
      <w:pPr>
        <w:pStyle w:val="44"/>
        <w:rPr>
          <w:rFonts w:ascii="Times New Roman" w:hAnsi="Times New Roman" w:cs="Times New Roman"/>
          <w:i/>
          <w:iCs/>
          <w:sz w:val="24"/>
          <w:szCs w:val="24"/>
        </w:rPr>
      </w:pP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19 ПБУ 18/02)</w:t>
      </w:r>
    </w:p>
    <w:p>
      <w:pPr>
        <w:pStyle w:val="44"/>
        <w:rPr>
          <w:rFonts w:ascii="Times New Roman" w:hAnsi="Times New Roman" w:cs="Times New Roman"/>
          <w:sz w:val="24"/>
          <w:szCs w:val="24"/>
        </w:rPr>
      </w:pPr>
      <w:r>
        <w:rPr>
          <w:rFonts w:ascii="Times New Roman" w:hAnsi="Times New Roman" w:cs="Times New Roman"/>
          <w:sz w:val="24"/>
          <w:szCs w:val="24"/>
        </w:rPr>
        <w:t>17.4.4. Доходы будущих периодов, признанные в связи с получением бюджетных средств на финансирование капитальных затрат, отражаются в бухгалтерском балансе в качестве обособленного показателя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отдельным показателем доходов.</w:t>
      </w:r>
    </w:p>
    <w:p>
      <w:pPr>
        <w:pStyle w:val="44"/>
        <w:rPr>
          <w:rFonts w:ascii="Times New Roman" w:hAnsi="Times New Roman" w:cs="Times New Roman"/>
          <w:sz w:val="24"/>
          <w:szCs w:val="24"/>
        </w:rPr>
      </w:pPr>
      <w:r>
        <w:rPr>
          <w:rFonts w:ascii="Times New Roman" w:hAnsi="Times New Roman" w:cs="Times New Roman"/>
          <w:sz w:val="24"/>
          <w:szCs w:val="24"/>
        </w:rPr>
        <w:t>При несущественности этих величин они не отражаются как отдельные показатели, а включаются в общие показатели долгосрочных обязательств и прочих доходов.</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пп. "а" п. 21 ПБУ 13/2000, пп. "д" п. 69 ФСБУ 4/2023)</w:t>
      </w:r>
    </w:p>
    <w:p>
      <w:pPr>
        <w:pStyle w:val="44"/>
        <w:rPr>
          <w:rFonts w:ascii="Times New Roman" w:hAnsi="Times New Roman" w:cs="Times New Roman"/>
          <w:sz w:val="24"/>
          <w:szCs w:val="24"/>
        </w:rPr>
      </w:pPr>
      <w:r>
        <w:rPr>
          <w:rFonts w:ascii="Times New Roman" w:hAnsi="Times New Roman" w:cs="Times New Roman"/>
          <w:sz w:val="24"/>
          <w:szCs w:val="24"/>
        </w:rPr>
        <w:t>17.5. Отчет о финансовых результатах.</w:t>
      </w:r>
    </w:p>
    <w:p>
      <w:pPr>
        <w:pStyle w:val="44"/>
        <w:rPr>
          <w:rFonts w:ascii="Times New Roman" w:hAnsi="Times New Roman" w:cs="Times New Roman"/>
          <w:sz w:val="24"/>
          <w:szCs w:val="24"/>
        </w:rPr>
      </w:pPr>
      <w:r>
        <w:rPr>
          <w:rFonts w:ascii="Times New Roman" w:hAnsi="Times New Roman" w:cs="Times New Roman"/>
          <w:sz w:val="24"/>
          <w:szCs w:val="24"/>
        </w:rPr>
        <w:t>17.5.1. В отчете о финансовых результатах организация показывает свернуто прочие доходы и соответствующие им прочие расходы, которые относятся к одному или нескольким аналогичным фактам хозяйственной жизни (кроме случаев, когда стандарты предусматривают иной порядок или их раздельное представление способно повлиять на решения пользователей отчетности). В частности, свернуто показываются следующие прочие доходы и расходы:</w:t>
      </w:r>
    </w:p>
    <w:p>
      <w:pPr>
        <w:pStyle w:val="44"/>
        <w:rPr>
          <w:rFonts w:ascii="Times New Roman" w:hAnsi="Times New Roman" w:cs="Times New Roman"/>
          <w:sz w:val="24"/>
          <w:szCs w:val="24"/>
        </w:rPr>
      </w:pPr>
      <w:r>
        <w:rPr>
          <w:rFonts w:ascii="Times New Roman" w:hAnsi="Times New Roman" w:cs="Times New Roman"/>
          <w:sz w:val="24"/>
          <w:szCs w:val="24"/>
        </w:rPr>
        <w:t>- положительные и отрицательные курсовые разницы;</w:t>
      </w:r>
    </w:p>
    <w:p>
      <w:pPr>
        <w:pStyle w:val="44"/>
        <w:rPr>
          <w:rFonts w:ascii="Times New Roman" w:hAnsi="Times New Roman" w:cs="Times New Roman"/>
          <w:sz w:val="24"/>
          <w:szCs w:val="24"/>
        </w:rPr>
      </w:pPr>
      <w:r>
        <w:rPr>
          <w:rFonts w:ascii="Times New Roman" w:hAnsi="Times New Roman" w:cs="Times New Roman"/>
          <w:sz w:val="24"/>
          <w:szCs w:val="24"/>
        </w:rPr>
        <w:t>- прибыли и убытки от выбытия разных объектов основных средств;</w:t>
      </w:r>
    </w:p>
    <w:p>
      <w:pPr>
        <w:pStyle w:val="44"/>
        <w:rPr>
          <w:rFonts w:ascii="Times New Roman" w:hAnsi="Times New Roman" w:cs="Times New Roman"/>
          <w:sz w:val="24"/>
          <w:szCs w:val="24"/>
        </w:rPr>
      </w:pPr>
      <w:r>
        <w:rPr>
          <w:rFonts w:ascii="Times New Roman" w:hAnsi="Times New Roman" w:cs="Times New Roman"/>
          <w:sz w:val="24"/>
          <w:szCs w:val="24"/>
        </w:rPr>
        <w:t>- прибыли и убытки от выбытия разных объектов нематериальных активов;</w:t>
      </w:r>
    </w:p>
    <w:p>
      <w:pPr>
        <w:pStyle w:val="44"/>
        <w:rPr>
          <w:rFonts w:ascii="Times New Roman" w:hAnsi="Times New Roman" w:cs="Times New Roman"/>
          <w:sz w:val="24"/>
          <w:szCs w:val="24"/>
        </w:rPr>
      </w:pPr>
      <w:r>
        <w:rPr>
          <w:rFonts w:ascii="Times New Roman" w:hAnsi="Times New Roman" w:cs="Times New Roman"/>
          <w:sz w:val="24"/>
          <w:szCs w:val="24"/>
        </w:rPr>
        <w:t>- прочие доходы и расходы, связанные с увеличением и уменьшением оценочных резервов одного вида (под обесценение финансовых вложений, резервы сомнительных долгов).</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Нельзя показывать свернуто доходы и расходы, связанные с увеличением и уменьшением оценочных резервов разного вида, например, по сомнительным долгам и под обесценение запасов.</w:t>
      </w:r>
    </w:p>
    <w:p>
      <w:pPr>
        <w:pStyle w:val="44"/>
        <w:rPr>
          <w:rFonts w:ascii="Times New Roman" w:hAnsi="Times New Roman" w:cs="Times New Roman"/>
          <w:i/>
          <w:iCs/>
          <w:sz w:val="24"/>
          <w:szCs w:val="24"/>
        </w:rPr>
      </w:pPr>
    </w:p>
    <w:p>
      <w:pPr>
        <w:pStyle w:val="44"/>
        <w:rPr>
          <w:rFonts w:ascii="Times New Roman" w:hAnsi="Times New Roman" w:cs="Times New Roman"/>
          <w:i/>
          <w:iCs/>
          <w:sz w:val="24"/>
          <w:szCs w:val="24"/>
        </w:rPr>
      </w:pPr>
      <w:r>
        <w:rPr>
          <w:rFonts w:ascii="Times New Roman" w:hAnsi="Times New Roman" w:cs="Times New Roman"/>
          <w:i/>
        </w:rPr>
        <w:t>(</w:t>
      </w:r>
      <w:r>
        <w:rPr>
          <w:rFonts w:ascii="Times New Roman" w:hAnsi="Times New Roman" w:cs="Times New Roman"/>
          <w:i/>
          <w:iCs/>
          <w:sz w:val="24"/>
          <w:szCs w:val="24"/>
        </w:rPr>
        <w:t>Основание: п. 28 ФСБУ 4/2023)</w:t>
      </w:r>
    </w:p>
    <w:p>
      <w:pPr>
        <w:pStyle w:val="44"/>
        <w:rPr>
          <w:rFonts w:ascii="Times New Roman" w:hAnsi="Times New Roman" w:cs="Times New Roman"/>
          <w:sz w:val="24"/>
          <w:szCs w:val="24"/>
        </w:rPr>
      </w:pPr>
      <w:r>
        <w:rPr>
          <w:rFonts w:ascii="Times New Roman" w:hAnsi="Times New Roman" w:cs="Times New Roman"/>
          <w:sz w:val="24"/>
          <w:szCs w:val="24"/>
        </w:rPr>
        <w:t>17.5.2. Расходы на приобретение несущественных активов стоимостью менее установленного лимита, не признаваемых в составе ОС, включаются в тот показатель отчета о финансовых результатах, в который включалась бы амортизация основных средств в отсутствие такого лимита. При раскрытии элементов затрат на производство в пояснениях указанные расходы отражаются вместе с амортизацией.</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9 Рекомендации БМЦ Р-126/2021-КпР)</w:t>
      </w:r>
    </w:p>
    <w:p>
      <w:pPr>
        <w:pStyle w:val="44"/>
        <w:rPr>
          <w:rFonts w:ascii="Times New Roman" w:hAnsi="Times New Roman" w:cs="Times New Roman"/>
          <w:sz w:val="24"/>
          <w:szCs w:val="24"/>
        </w:rPr>
      </w:pPr>
      <w:r>
        <w:rPr>
          <w:rFonts w:ascii="Times New Roman" w:hAnsi="Times New Roman" w:cs="Times New Roman"/>
          <w:sz w:val="24"/>
          <w:szCs w:val="24"/>
        </w:rPr>
        <w:t>17.5.3. Доходы, признанные в связи с получением бюджетных средств на финансирование текущих затрат, представляются в отчете о финансовых результатах в качестве отдельного показателя, а в случае несущественности их суммы - включаются в сумму прочих доходов.</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21 ПБУ 13/2000)</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17.6. Отчет о движении денежных средств.</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17.6.1. К денежным эквивалентам относятся краткосрочные (до трех месяцев) высоколиквидные финансовые инструменты, подверженные незначительному риску изменения стоимости.</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соответствия указанным критериям в отчете о движении денежных средств в качестве денежных эквивалентов организации, в частности, указываются:</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депозиты до востребования;</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векселя крупных стабильных банков (в том числе беспроцентные).</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(Основание: п. п. 5, 23 ПБУ 23/2011, п. 7.1 ПБУ 1/2008, п. 7 МСФО (IAS) 7 "Отчет о движении денежных средств", п. 5 Письма Минфина России от 21.12.2009 № ПЗ-4/2009)</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17.6.2. Денежные потоки по финансовым вложениям, приобретаемым с целью их перепродажи в краткосрочной перспективе, относятся к денежным потокам от текущих операций. Под краткосрочной перспективой понимается срок, не превышающий трех месяцев с момента приобретения финансовых вложений.</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(Основание: пп. "з" п. 9, п. 23 ПБУ 23/2011)</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17.6.3. Платежи организации в связи с приобретением, созданием, улучшением, восстановлением несущественных активов стоимостью менее установленного лимита, не признаваемых в составе ОС, представляются в отчете о движении денежных средств в составе денежных потоков от инвестиционных операций.</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(Основание: п. 9 Рекомендации БМЦ Р-126/2021-КпР)</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17.7. Иные особенности составления бухгалтерской отчетности.</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17.7.1. В пояснениях к бухгалтерскому балансу и отчету о финансовых результатах в части раскрытия информации об основных средствах используется следующий подход.</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сверке остатков основных средств на начало и конец отчетного периода, которая требуется согласно пп. "б" п. 45 ФСБУ 6/2020, суммы накопленной амортизации и накопленного обесценения приводятся отдельными показателями.</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Сумма накопленного обесценения представляется в размере, уменьшенном на часть ранее признанного убытка от обесценения, приходящуюся на самортизированную впоследствии часть стоимости ОС. В целях числовой увязки данных об остатках ОС на начало и конец отчетного периода с данными об их движении за отчетный период в сверку включается дополнительный показатель, отражающий перевод ранее признанного обесценения ОС в накопленную амортизацию в части, приходящейся на стоимость ОС, самортизированную за отчетный период.</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Амортизация и обесценение за отчетный период показываются в начисленных суммах, включаемых в совокупный финансовый результат за этот период (с учетом включения амортизации в себестоимость другого актива). Они представляются в пояснениях отдельно друг от друга.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7.1 ПБУ 1/2008, Рекомендация БМЦ Р-136/2022-КпР "Амортизация обесцененных основных средств")</w:t>
      </w: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jc w:val="right"/>
        <w:rPr>
          <w:rFonts w:ascii="Times New Roman" w:hAnsi="Times New Roman" w:cs="Times New Roman"/>
          <w:sz w:val="24"/>
          <w:szCs w:val="24"/>
        </w:rPr>
      </w:pPr>
      <w:r>
        <w:rPr>
          <w:rFonts w:ascii="Times New Roman" w:hAnsi="Times New Roman" w:cs="Times New Roman"/>
          <w:bCs/>
          <w:sz w:val="24"/>
          <w:szCs w:val="24"/>
        </w:rPr>
        <w:t>Приложение</w:t>
      </w:r>
    </w:p>
    <w:p>
      <w:pPr>
        <w:pStyle w:val="44"/>
        <w:jc w:val="right"/>
        <w:rPr>
          <w:rFonts w:ascii="Times New Roman" w:hAnsi="Times New Roman" w:cs="Times New Roman"/>
          <w:sz w:val="24"/>
          <w:szCs w:val="24"/>
          <w:lang w:val="ru-RU"/>
        </w:rPr>
      </w:pPr>
      <w:r>
        <w:rPr>
          <w:rFonts w:ascii="Times New Roman" w:hAnsi="Times New Roman" w:cs="Times New Roman"/>
          <w:bCs/>
          <w:sz w:val="24"/>
          <w:szCs w:val="24"/>
        </w:rPr>
        <w:t xml:space="preserve">к Учетной политике </w:t>
      </w:r>
      <w:r>
        <w:rPr>
          <w:rFonts w:ascii="Times New Roman" w:hAnsi="Times New Roman" w:cs="Times New Roman"/>
          <w:bCs/>
          <w:sz w:val="24"/>
          <w:szCs w:val="24"/>
          <w:lang w:val="ru-RU"/>
        </w:rPr>
        <w:t>ООО "Ppt.ru"</w:t>
      </w:r>
    </w:p>
    <w:p>
      <w:pPr>
        <w:pStyle w:val="44"/>
        <w:jc w:val="right"/>
        <w:rPr>
          <w:rFonts w:ascii="Times New Roman" w:hAnsi="Times New Roman" w:cs="Times New Roman"/>
          <w:sz w:val="24"/>
          <w:szCs w:val="24"/>
        </w:rPr>
      </w:pPr>
      <w:r>
        <w:rPr>
          <w:rFonts w:ascii="Times New Roman" w:hAnsi="Times New Roman" w:cs="Times New Roman"/>
          <w:bCs/>
          <w:sz w:val="24"/>
          <w:szCs w:val="24"/>
        </w:rPr>
        <w:t>для целей бухгалтерского учета</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b/>
          <w:bCs/>
          <w:sz w:val="24"/>
          <w:szCs w:val="24"/>
        </w:rPr>
        <w:t>1. Формы первичных учетных документов, применяемые организацией</w:t>
      </w:r>
    </w:p>
    <w:p>
      <w:pPr>
        <w:pStyle w:val="44"/>
        <w:rPr>
          <w:rFonts w:ascii="Times New Roman" w:hAnsi="Times New Roman" w:cs="Times New Roman"/>
          <w:b/>
          <w:bCs/>
          <w:sz w:val="24"/>
          <w:szCs w:val="24"/>
        </w:rPr>
      </w:pPr>
      <w:r>
        <w:rPr>
          <w:rFonts w:ascii="Times New Roman" w:hAnsi="Times New Roman" w:cs="Times New Roman"/>
          <w:b/>
          <w:bCs/>
          <w:sz w:val="24"/>
          <w:szCs w:val="24"/>
        </w:rPr>
        <w:t>2. Формы регистров бухгалтерского учета, применяемые организацией</w:t>
      </w:r>
    </w:p>
    <w:p>
      <w:pPr>
        <w:pStyle w:val="44"/>
        <w:rPr>
          <w:rFonts w:ascii="Times New Roman" w:hAnsi="Times New Roman" w:cs="Times New Roman"/>
          <w:b/>
          <w:bCs/>
          <w:sz w:val="24"/>
          <w:szCs w:val="24"/>
        </w:rPr>
      </w:pPr>
      <w:r>
        <w:rPr>
          <w:rFonts w:ascii="Times New Roman" w:hAnsi="Times New Roman" w:cs="Times New Roman"/>
          <w:b/>
          <w:bCs/>
          <w:sz w:val="24"/>
          <w:szCs w:val="24"/>
        </w:rPr>
        <w:t>3. График документооборота</w:t>
      </w:r>
    </w:p>
    <w:p>
      <w:pPr>
        <w:pStyle w:val="44"/>
        <w:rPr>
          <w:rFonts w:ascii="Times New Roman" w:hAnsi="Times New Roman" w:cs="Times New Roman"/>
          <w:b/>
          <w:bCs/>
          <w:sz w:val="24"/>
          <w:szCs w:val="24"/>
        </w:rPr>
      </w:pPr>
      <w:r>
        <w:rPr>
          <w:rFonts w:ascii="Times New Roman" w:hAnsi="Times New Roman" w:cs="Times New Roman"/>
          <w:b/>
          <w:bCs/>
          <w:sz w:val="24"/>
          <w:szCs w:val="24"/>
        </w:rPr>
        <w:t>4. Рабочий план счетов</w:t>
      </w:r>
    </w:p>
    <w:p>
      <w:pPr>
        <w:pStyle w:val="44"/>
        <w:rPr>
          <w:rFonts w:ascii="Times New Roman" w:hAnsi="Times New Roman" w:cs="Times New Roman"/>
          <w:b/>
          <w:bCs/>
          <w:sz w:val="24"/>
          <w:szCs w:val="24"/>
        </w:rPr>
      </w:pPr>
      <w:r>
        <w:rPr>
          <w:rFonts w:ascii="Times New Roman" w:hAnsi="Times New Roman" w:cs="Times New Roman"/>
          <w:b/>
          <w:bCs/>
          <w:sz w:val="24"/>
          <w:szCs w:val="24"/>
        </w:rPr>
        <w:t>5. Формы бухгалтерской (финансовой) отчетности, применяемые организацией</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 Формы первичных учетных документов,</w:t>
      </w:r>
    </w:p>
    <w:p>
      <w:pPr>
        <w:pStyle w:val="44"/>
        <w:jc w:val="center"/>
        <w:rPr>
          <w:rFonts w:ascii="Times New Roman" w:hAnsi="Times New Roman" w:cs="Times New Roman"/>
          <w:sz w:val="24"/>
          <w:szCs w:val="24"/>
        </w:rPr>
      </w:pPr>
      <w:r>
        <w:rPr>
          <w:rFonts w:ascii="Times New Roman" w:hAnsi="Times New Roman" w:cs="Times New Roman"/>
          <w:b/>
          <w:bCs/>
          <w:sz w:val="24"/>
          <w:szCs w:val="24"/>
        </w:rPr>
        <w:t>применяемые организацией</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1.1. Унифицированные формы первичных учетных документов,</w:t>
      </w:r>
    </w:p>
    <w:p>
      <w:pPr>
        <w:pStyle w:val="44"/>
        <w:jc w:val="center"/>
        <w:rPr>
          <w:rFonts w:ascii="Times New Roman" w:hAnsi="Times New Roman" w:cs="Times New Roman"/>
          <w:sz w:val="24"/>
          <w:szCs w:val="24"/>
        </w:rPr>
      </w:pPr>
      <w:r>
        <w:rPr>
          <w:rFonts w:ascii="Times New Roman" w:hAnsi="Times New Roman" w:cs="Times New Roman"/>
          <w:b/>
          <w:bCs/>
          <w:sz w:val="24"/>
          <w:szCs w:val="24"/>
        </w:rPr>
        <w:t>применение которых обязательно</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660"/>
        <w:gridCol w:w="226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Номер формы документа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 формы документа</w:t>
            </w:r>
          </w:p>
        </w:tc>
        <w:tc>
          <w:tcPr>
            <w:tcW w:w="2268" w:type="dxa"/>
            <w:tcBorders>
              <w:top w:val="single" w:color="auto" w:sz="6" w:space="0"/>
              <w:left w:val="single" w:color="auto" w:sz="6" w:space="0"/>
              <w:bottom w:val="single" w:color="auto" w:sz="6" w:space="0"/>
              <w:right w:val="single" w:color="auto" w:sz="6" w:space="0"/>
            </w:tcBorders>
          </w:tcPr>
          <w:p>
            <w:pPr>
              <w:pStyle w:val="45"/>
              <w:autoSpaceDE/>
              <w:jc w:val="center"/>
            </w:pPr>
            <w:r>
              <w:t>Нормативный правовой акт, которым утверждена форма</w:t>
            </w:r>
          </w:p>
        </w:tc>
        <w:tc>
          <w:tcPr>
            <w:tcW w:w="4536" w:type="dxa"/>
            <w:tcBorders>
              <w:top w:val="single" w:color="auto" w:sz="6" w:space="0"/>
              <w:left w:val="single" w:color="auto" w:sz="6" w:space="0"/>
              <w:bottom w:val="single" w:color="auto" w:sz="6" w:space="0"/>
              <w:right w:val="single" w:color="auto" w:sz="6" w:space="0"/>
            </w:tcBorders>
          </w:tcPr>
          <w:p>
            <w:pPr>
              <w:pStyle w:val="45"/>
              <w:autoSpaceDE/>
              <w:jc w:val="center"/>
            </w:pPr>
            <w:r>
              <w:t>Нормативный правовой акт, которым установлена обязанность применения формы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КО-1</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Приходный кассовый ордер</w:t>
            </w:r>
          </w:p>
        </w:tc>
        <w:tc>
          <w:tcPr>
            <w:tcW w:w="2268"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Госкомстата России от 18.08.1998 </w:t>
            </w:r>
            <w:r>
              <w:rPr>
                <w:lang w:val="ru-RU"/>
              </w:rPr>
              <w:t>№</w:t>
            </w:r>
            <w:r>
              <w:t xml:space="preserve"> 88</w:t>
            </w:r>
          </w:p>
        </w:tc>
        <w:tc>
          <w:tcPr>
            <w:tcW w:w="4536" w:type="dxa"/>
            <w:vMerge w:val="restart"/>
            <w:tcBorders>
              <w:top w:val="single" w:color="auto" w:sz="6" w:space="0"/>
              <w:left w:val="single" w:color="auto" w:sz="6" w:space="0"/>
              <w:bottom w:val="nil"/>
              <w:right w:val="single" w:color="auto" w:sz="6" w:space="0"/>
            </w:tcBorders>
          </w:tcPr>
          <w:p>
            <w:pPr>
              <w:pStyle w:val="45"/>
              <w:autoSpaceDE/>
              <w:jc w:val="left"/>
            </w:pPr>
            <w:r>
              <w:t xml:space="preserve">Статья 34 Федерального закона от 10.07.2002 </w:t>
            </w:r>
            <w:r>
              <w:rPr>
                <w:lang w:val="ru-RU"/>
              </w:rPr>
              <w:t>№</w:t>
            </w:r>
            <w:r>
              <w:t xml:space="preserve"> 86-ФЗ "О Центральном банке Российской Федерации (Банке России)";</w:t>
            </w:r>
          </w:p>
          <w:p>
            <w:pPr>
              <w:pStyle w:val="45"/>
              <w:autoSpaceDE/>
              <w:jc w:val="left"/>
            </w:pPr>
            <w:r>
              <w:t xml:space="preserve">Указание Банка России от 11.03.2014 </w:t>
            </w:r>
            <w:r>
              <w:rPr>
                <w:lang w:val="ru-RU"/>
              </w:rPr>
              <w:t>№</w:t>
            </w:r>
            <w: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КО-2</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Расходный кассовый ордер</w:t>
            </w:r>
          </w:p>
        </w:tc>
        <w:tc>
          <w:tcPr>
            <w:tcW w:w="2268"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КО-4</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Кассовая книга</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КО-5</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Книга учета принятых и выданных кассиром денежных средств</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Т-49</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Расчетно-платежная ведомость</w:t>
            </w:r>
          </w:p>
        </w:tc>
        <w:tc>
          <w:tcPr>
            <w:tcW w:w="2268"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Госкомстата России от 05.01.2004 </w:t>
            </w:r>
            <w:r>
              <w:rPr>
                <w:lang w:val="ru-RU"/>
              </w:rPr>
              <w:t>№</w:t>
            </w:r>
            <w:r>
              <w:t xml:space="preserve"> 1</w:t>
            </w: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Т-53</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Платежная ведомость</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приеме работника на работу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restart"/>
            <w:tcBorders>
              <w:top w:val="single" w:color="auto" w:sz="6" w:space="0"/>
              <w:left w:val="single" w:color="auto" w:sz="6" w:space="0"/>
              <w:bottom w:val="nil"/>
              <w:right w:val="single" w:color="auto" w:sz="6" w:space="0"/>
            </w:tcBorders>
          </w:tcPr>
          <w:p>
            <w:pPr>
              <w:pStyle w:val="45"/>
              <w:autoSpaceDE/>
              <w:jc w:val="left"/>
            </w:pPr>
            <w:r>
              <w:t>Трудовой кодекс РФ;</w:t>
            </w:r>
          </w:p>
          <w:p>
            <w:pPr>
              <w:pStyle w:val="45"/>
              <w:autoSpaceDE/>
              <w:jc w:val="left"/>
            </w:pPr>
            <w:r>
              <w:t xml:space="preserve">Постановление Госкомстата России от 05.01.2004 </w:t>
            </w:r>
            <w:r>
              <w:rPr>
                <w:lang w:val="ru-RU"/>
              </w:rPr>
              <w:t>№</w:t>
            </w:r>
            <w: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приеме работников на работу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Т-3</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Штатное расписание</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переводе работника на другую работу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переводе работников на другую работу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Т-6</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предоставлении отпуска работнику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Т-6а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предоставлении отпуска работникам</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Т-7</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График отпусков</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Т-8</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прекращении (расторжении) трудового договора с работником (увольнении)</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Т-8а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прекращении (расторжении) трудового договора с работниками (увольнении)</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Т-9</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направлении работника в командировку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Т-9а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направлении работников в командировку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Т-11</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поощрении работника</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restart"/>
            <w:tcBorders>
              <w:top w:val="single" w:color="auto" w:sz="6" w:space="0"/>
              <w:left w:val="single" w:color="auto" w:sz="6" w:space="0"/>
              <w:bottom w:val="nil"/>
              <w:right w:val="single" w:color="auto" w:sz="6" w:space="0"/>
            </w:tcBorders>
          </w:tcPr>
          <w:p>
            <w:pPr>
              <w:pStyle w:val="45"/>
              <w:autoSpaceDE/>
              <w:jc w:val="left"/>
            </w:pPr>
            <w:r>
              <w:t>Трудовой кодекс РФ;</w:t>
            </w:r>
          </w:p>
          <w:p>
            <w:pPr>
              <w:pStyle w:val="45"/>
              <w:autoSpaceDE/>
              <w:jc w:val="left"/>
            </w:pPr>
            <w:r>
              <w:t xml:space="preserve">Постановление Госкомстата России от 05.01.2004 </w:t>
            </w:r>
            <w:r>
              <w:rPr>
                <w:lang w:val="ru-RU"/>
              </w:rPr>
              <w:t>№</w:t>
            </w:r>
            <w: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Т-11а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Приказ (распоряжение) о поощрении работников</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Т-12</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Табель учета рабочего времени и расчета оплаты труда</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Т-13</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Табель учета рабочего времени</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Т-51</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Расчетная ведомость</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Т-53а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Журнал регистрации платежных ведомостей</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Т-54</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Лицевой счет</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Т-54а</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Лицевой счет (свт)</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Т-60</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Записка-расчет о предоставлении отпуска работнику</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Т-61</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Записка-расчет при прекращении (расторжении) трудового договора с работником (увольнении)</w:t>
            </w:r>
          </w:p>
        </w:tc>
        <w:tc>
          <w:tcPr>
            <w:tcW w:w="22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Т-73</w:t>
            </w:r>
          </w:p>
        </w:tc>
        <w:tc>
          <w:tcPr>
            <w:tcW w:w="2660"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 работ, выполненных по срочному трудовому договору, заключенному на время выполнения определенной работы</w:t>
            </w:r>
          </w:p>
        </w:tc>
        <w:tc>
          <w:tcPr>
            <w:tcW w:w="2268"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4536"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1.2. Иные применяемые организацией формы первичных учетных</w:t>
      </w:r>
    </w:p>
    <w:p>
      <w:pPr>
        <w:pStyle w:val="44"/>
        <w:jc w:val="center"/>
        <w:rPr>
          <w:rFonts w:ascii="Times New Roman" w:hAnsi="Times New Roman" w:cs="Times New Roman"/>
          <w:sz w:val="24"/>
          <w:szCs w:val="24"/>
        </w:rPr>
      </w:pPr>
      <w:r>
        <w:rPr>
          <w:rFonts w:ascii="Times New Roman" w:hAnsi="Times New Roman" w:cs="Times New Roman"/>
          <w:b/>
          <w:bCs/>
          <w:sz w:val="24"/>
          <w:szCs w:val="24"/>
        </w:rPr>
        <w:t>документов, утвержденные уполномоченными органами</w:t>
      </w:r>
    </w:p>
    <w:p>
      <w:pPr>
        <w:pStyle w:val="44"/>
        <w:jc w:val="center"/>
        <w:rPr>
          <w:rFonts w:ascii="Times New Roman" w:hAnsi="Times New Roman" w:cs="Times New Roman"/>
          <w:sz w:val="24"/>
          <w:szCs w:val="24"/>
        </w:rPr>
      </w:pPr>
      <w:r>
        <w:rPr>
          <w:rFonts w:ascii="Times New Roman" w:hAnsi="Times New Roman" w:cs="Times New Roman"/>
          <w:b/>
          <w:bCs/>
          <w:sz w:val="24"/>
          <w:szCs w:val="24"/>
        </w:rPr>
        <w:t>(в том числе унифицированные и специализированные формы)</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55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center"/>
            </w:pPr>
            <w:r>
              <w:t>Номер формы документа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 формы документа</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center"/>
            </w:pPr>
            <w:r>
              <w:t>Нормативный правовой акт, которым утверждена форма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1-Т</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Товарно-транспортная накладная</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приеме-передаче объекта основных средств (кроме зданий, сооружений)</w:t>
            </w:r>
          </w:p>
        </w:tc>
        <w:tc>
          <w:tcPr>
            <w:tcW w:w="3827" w:type="dxa"/>
            <w:vMerge w:val="restart"/>
            <w:tcBorders>
              <w:top w:val="single" w:color="auto" w:sz="6" w:space="0"/>
              <w:left w:val="single" w:color="auto" w:sz="6" w:space="0"/>
              <w:bottom w:val="single" w:color="auto" w:sz="6" w:space="0"/>
              <w:right w:val="single" w:color="auto" w:sz="6" w:space="0"/>
            </w:tcBorders>
          </w:tcPr>
          <w:p>
            <w:pPr>
              <w:pStyle w:val="45"/>
              <w:autoSpaceDE/>
              <w:jc w:val="left"/>
            </w:pPr>
            <w:r>
              <w:t xml:space="preserve">Постановление Госкомстата России от 21.01.2003 </w:t>
            </w:r>
            <w:r>
              <w:rPr>
                <w:lang w:val="ru-RU"/>
              </w:rPr>
              <w:t>№</w:t>
            </w:r>
            <w: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приеме-передаче здания (сооружения)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ОС-1б</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приеме-передаче групп объектов основных средств (кроме зданий, сооружений)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Накладная на внутреннее перемещение объектов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приеме-сдаче отремонтированных, реконструированных, модернизированных объектов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списании объекта основных средств (кроме автотранспортных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ОС-4а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списании автотранспортных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ОС-4б</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списании групп объектов основных средств (кроме автотранспортных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Инвентарная карточка учета объекта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ОС-6а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Инвентарная карточка группового учета объектов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ОС-6б</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Инвентарная книга учета объектов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 (поступлении) оборудования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приеме-передаче оборудования в монтаж</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ОС-16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выявленных дефектах оборудования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НМА-1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Карточка учета нематериальных активов</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r>
              <w:t xml:space="preserve">Постановление Госкомстата России от 30.10.1997 </w:t>
            </w:r>
            <w:r>
              <w:rPr>
                <w:lang w:val="ru-RU"/>
              </w:rPr>
              <w:t>№</w:t>
            </w:r>
            <w:r>
              <w:t xml:space="preserve"> 71а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Доверенность</w:t>
            </w:r>
          </w:p>
        </w:tc>
        <w:tc>
          <w:tcPr>
            <w:tcW w:w="3827"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Госкомстата России от 30.10.1997 </w:t>
            </w:r>
            <w:r>
              <w:rPr>
                <w:lang w:val="ru-RU"/>
              </w:rPr>
              <w:t>№</w:t>
            </w:r>
            <w:r>
              <w:t xml:space="preserve"> 71а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М-2а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Доверенность</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Приходный ордер</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приемке материалов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Лимитно-заборная карта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М-11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Требование-накладная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М-15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Накладная на отпуск материалов на сторону</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М-17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Карточка учета материалов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М-35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об оприходовании материальных ценностей, полученных при разборке и демонтаже зданий и сооружений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МБ-7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выдачи спецодежды, спецобуви и предохранительных приспособлений</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r>
              <w:t xml:space="preserve">Постановление Госкомстата России от 30.10.1997 </w:t>
            </w:r>
            <w:r>
              <w:rPr>
                <w:lang w:val="ru-RU"/>
              </w:rPr>
              <w:t>№</w:t>
            </w:r>
            <w:r>
              <w:t xml:space="preserve"> 71а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Калькуляционная карточка</w:t>
            </w:r>
          </w:p>
        </w:tc>
        <w:tc>
          <w:tcPr>
            <w:tcW w:w="3827"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Госкомстата России от 25.12.1998 </w:t>
            </w:r>
            <w:r>
              <w:rPr>
                <w:lang w:val="ru-RU"/>
              </w:rPr>
              <w:t>№</w:t>
            </w:r>
            <w:r>
              <w:t xml:space="preserve">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План-меню</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Требование в кладовую</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Накладная на отпуск товара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Закупочный акт</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Дневной заборный лист</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Опись дневных заборных листов (накладных)</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бое, ломе и утрате посуды и приборов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ОП-9</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движения посуды и приборов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ОП-10</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реализации и отпуске изделий кухни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продаже и отпуске изделий кухни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реализации готовых изделий кухни за наличный расчет</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Контрольный расчет расхода специй и соли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движения продуктов и тары на кухне</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снятии остатков продуктов, полуфабрикатов и готовых изделий кухни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остатков продуктов и товаров на складе (в кладовой)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Контрольный расчет расхода продуктов по нормам рецептур на выпущенные изделия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передаче товаров и тары при смене материально ответственного лица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ОП-19</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столовой посуды и приборов, выдаваемых под отчет работникам организации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ОП-20</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Заказ-счет</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на отпуск питания сотрудникам организации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на отпуск питания по безналичному расчету</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разделке мяса-сырья на полуфабрикаты</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движения готовых изделий в кондитерском и других цехах</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ОП-25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Наряд-заказ на изготовление кондитерских и других изделий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основных средств</w:t>
            </w:r>
          </w:p>
        </w:tc>
        <w:tc>
          <w:tcPr>
            <w:tcW w:w="3827"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Госкомстата России от 18.08.1998 </w:t>
            </w:r>
            <w:r>
              <w:rPr>
                <w:lang w:val="ru-RU"/>
              </w:rPr>
              <w:t>№</w:t>
            </w:r>
            <w:r>
              <w:t xml:space="preserve"> 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нематериальных активов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Инвентаризационный ярлык</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товарно-материальных ценностей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товарно-материальных ценностей отгруженных</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товарно-материальных ценностей, принятых на ответственное хранение</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товарно-материальных ценностей, находящихся в пути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ИНВ-8а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драгоценных металлов, содержащихся в деталях, полуфабрикатах, сборочных единицах (узлах), оборудовании, приборах и других изделиях</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ИНВ-10</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незаконченных ремонтов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расходов будущих периодов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наличных денежных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Инвентаризационная опись ценных бумаг и бланков документов строгой отчетности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инвентаризации расчетов с покупателями, поставщиками и прочими дебиторами и кредиторами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Приложение к ИНВ-17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Справка к акту инвентаризации расчетов с покупателями, поставщиками и прочими дебиторами и кредиторами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Сличительная ведомость результатов инвентаризации основных средств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ИНВ-19</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Сличительная ведомость результатов инвентаризации товарно-материальных ценностей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Приказ (постановление, распоряжение) о проведении инвентаризации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контроля за выполнением приказов (постановлений, распоряжений) о проведении инвентаризации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контрольной проверке правильности проведения инвентаризации ценностей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контрольных проверок правильности проведения инвентаризаций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ИНВ-26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результатов, выявленных инвентаризацией</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r>
              <w:t xml:space="preserve">Постановление Госкомстата России от 27.03.2000 </w:t>
            </w:r>
            <w:r>
              <w:rPr>
                <w:lang w:val="ru-RU"/>
              </w:rPr>
              <w:t>№</w:t>
            </w:r>
            <w:r>
              <w:t xml:space="preserv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приеме-передаче товарно-материальных ценностей на хранение</w:t>
            </w:r>
          </w:p>
        </w:tc>
        <w:tc>
          <w:tcPr>
            <w:tcW w:w="3827" w:type="dxa"/>
            <w:vMerge w:val="restart"/>
            <w:tcBorders>
              <w:top w:val="single" w:color="auto" w:sz="6" w:space="0"/>
              <w:left w:val="single" w:color="auto" w:sz="6" w:space="0"/>
              <w:bottom w:val="nil"/>
              <w:right w:val="single" w:color="auto" w:sz="6" w:space="0"/>
            </w:tcBorders>
          </w:tcPr>
          <w:p>
            <w:pPr>
              <w:pStyle w:val="45"/>
              <w:autoSpaceDE/>
              <w:jc w:val="left"/>
            </w:pPr>
            <w:r>
              <w:t xml:space="preserve">Постановление Росстата от 09.08.1999 </w:t>
            </w:r>
            <w:r>
              <w:rPr>
                <w:lang w:val="ru-RU"/>
              </w:rPr>
              <w:t>№</w:t>
            </w:r>
            <w:r>
              <w:t xml:space="preserve">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товарно-материальных ценностей, сданных на хранение</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возврате товарно-материальных ценностей, сданных на хранение</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поступающих грузов</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поступления продукции, товарно-материальных ценностей в места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расхода продукции, товарно-материальных ценностей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поступления плодоовощной продукции в места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Журнал учета расхода плодоовощной продукции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МХ-9</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Весовая ведомость</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МХ-10</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Партионная карта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расходе товаров по партии</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МХ-12</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расходе товаров по партиям</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МХ-13</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контрольной проверке продукции, товарно-материальных ценностей, вывозимых из мест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МХ-14</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выборочной проверке наличия товарно-материальных ценностей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МХ-15</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об уценке товарно-материальных ценностей</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МХ-16</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Карточка учета овощей и картофеля в буртах (траншеях, овощехранилищах)</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МХ-17</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Акт о зачистке бурта (траншеи, овощехранилища)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МХ-18</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Накладная на передачу готовой продукции в места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pPr>
            <w:r>
              <w:t>МХ-19</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Ведомость учета остатков товарно-материальных ценностей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МХ-20</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Отчет о движении товарно-материальных ценностей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МХ-20а</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Отчет о движении товарно-материальных ценностей в местах хранения</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2" w:type="dxa"/>
            <w:tcBorders>
              <w:top w:val="single" w:color="auto" w:sz="6" w:space="0"/>
              <w:left w:val="single" w:color="auto" w:sz="6" w:space="0"/>
              <w:bottom w:val="single" w:color="auto" w:sz="6" w:space="0"/>
              <w:right w:val="single" w:color="auto" w:sz="6" w:space="0"/>
            </w:tcBorders>
          </w:tcPr>
          <w:p>
            <w:pPr>
              <w:pStyle w:val="45"/>
              <w:autoSpaceDE/>
              <w:jc w:val="left"/>
            </w:pPr>
            <w:r>
              <w:t>МХ-21</w:t>
            </w:r>
          </w:p>
        </w:tc>
        <w:tc>
          <w:tcPr>
            <w:tcW w:w="5502" w:type="dxa"/>
            <w:tcBorders>
              <w:top w:val="single" w:color="auto" w:sz="6" w:space="0"/>
              <w:left w:val="single" w:color="auto" w:sz="6" w:space="0"/>
              <w:bottom w:val="single" w:color="auto" w:sz="6" w:space="0"/>
              <w:right w:val="single" w:color="auto" w:sz="6" w:space="0"/>
            </w:tcBorders>
          </w:tcPr>
          <w:p>
            <w:pPr>
              <w:pStyle w:val="45"/>
              <w:autoSpaceDE/>
              <w:jc w:val="left"/>
            </w:pPr>
            <w:r>
              <w:t>Отчет экспедитора</w:t>
            </w:r>
          </w:p>
        </w:tc>
        <w:tc>
          <w:tcPr>
            <w:tcW w:w="382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52" w:type="dxa"/>
            <w:tcBorders>
              <w:top w:val="single" w:color="auto" w:sz="6" w:space="0"/>
              <w:left w:val="single" w:color="auto" w:sz="6" w:space="0"/>
              <w:right w:val="single" w:color="auto" w:sz="6" w:space="0"/>
            </w:tcBorders>
          </w:tcPr>
          <w:p>
            <w:pPr>
              <w:pStyle w:val="45"/>
              <w:autoSpaceDE/>
              <w:jc w:val="left"/>
            </w:pPr>
          </w:p>
        </w:tc>
        <w:tc>
          <w:tcPr>
            <w:tcW w:w="5502" w:type="dxa"/>
            <w:tcBorders>
              <w:top w:val="single" w:color="auto" w:sz="6" w:space="0"/>
              <w:left w:val="single" w:color="auto" w:sz="6" w:space="0"/>
              <w:right w:val="single" w:color="auto" w:sz="6" w:space="0"/>
            </w:tcBorders>
          </w:tcPr>
          <w:p>
            <w:pPr>
              <w:pStyle w:val="45"/>
              <w:autoSpaceDE/>
              <w:jc w:val="left"/>
            </w:pPr>
            <w:r>
              <w:t>Транспортная накладная</w:t>
            </w:r>
          </w:p>
        </w:tc>
        <w:tc>
          <w:tcPr>
            <w:tcW w:w="3827" w:type="dxa"/>
            <w:tcBorders>
              <w:top w:val="single" w:color="auto" w:sz="6" w:space="0"/>
              <w:left w:val="single" w:color="auto" w:sz="6" w:space="0"/>
              <w:bottom w:val="nil"/>
              <w:right w:val="single" w:color="auto" w:sz="6" w:space="0"/>
            </w:tcBorders>
          </w:tcPr>
          <w:p>
            <w:pPr>
              <w:pStyle w:val="45"/>
              <w:autoSpaceDE/>
              <w:jc w:val="left"/>
            </w:pPr>
            <w:r>
              <w:t xml:space="preserve">Приложение </w:t>
            </w:r>
            <w:r>
              <w:rPr>
                <w:lang w:val="ru-RU"/>
              </w:rPr>
              <w:t>№</w:t>
            </w:r>
            <w:r>
              <w:t xml:space="preserve"> 4 к Правилам перевозок грузов автомобильным транспортом (утв. Постановлением Правительства РФ от 21.12.2020 </w:t>
            </w:r>
            <w:r>
              <w:rPr>
                <w:lang w:val="ru-RU"/>
              </w:rPr>
              <w:t>№</w:t>
            </w:r>
            <w:r>
              <w:t xml:space="preserve"> 2200)</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 Самостоятельно разработанные формы</w:t>
      </w:r>
    </w:p>
    <w:p>
      <w:pPr>
        <w:pStyle w:val="44"/>
        <w:jc w:val="center"/>
        <w:rPr>
          <w:rFonts w:ascii="Times New Roman" w:hAnsi="Times New Roman" w:cs="Times New Roman"/>
          <w:sz w:val="24"/>
          <w:szCs w:val="24"/>
        </w:rPr>
      </w:pPr>
      <w:r>
        <w:rPr>
          <w:rFonts w:ascii="Times New Roman" w:hAnsi="Times New Roman" w:cs="Times New Roman"/>
          <w:b/>
          <w:bCs/>
          <w:sz w:val="24"/>
          <w:szCs w:val="24"/>
        </w:rPr>
        <w:t>первичных учетных документов</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1.3.1. Бухгалтерская справка</w:t>
      </w:r>
    </w:p>
    <w:p>
      <w:pPr>
        <w:pStyle w:val="44"/>
        <w:rPr>
          <w:rFonts w:ascii="Times New Roman" w:hAnsi="Times New Roman" w:cs="Times New Roman"/>
          <w:sz w:val="24"/>
          <w:szCs w:val="24"/>
        </w:rPr>
      </w:pPr>
      <w:r>
        <w:rPr>
          <w:rFonts w:ascii="Times New Roman" w:hAnsi="Times New Roman" w:cs="Times New Roman"/>
          <w:sz w:val="24"/>
          <w:szCs w:val="24"/>
        </w:rPr>
        <w:t>1.3.2. Бухгалтерская справка-расчет</w:t>
      </w:r>
    </w:p>
    <w:p>
      <w:pPr>
        <w:pStyle w:val="44"/>
        <w:rPr>
          <w:rFonts w:ascii="Times New Roman" w:hAnsi="Times New Roman" w:cs="Times New Roman"/>
          <w:sz w:val="24"/>
          <w:szCs w:val="24"/>
        </w:rPr>
      </w:pPr>
      <w:r>
        <w:rPr>
          <w:rFonts w:ascii="Times New Roman" w:hAnsi="Times New Roman" w:cs="Times New Roman"/>
          <w:sz w:val="24"/>
          <w:szCs w:val="24"/>
        </w:rPr>
        <w:t>1.3.3. Накладная</w:t>
      </w:r>
    </w:p>
    <w:p>
      <w:pPr>
        <w:pStyle w:val="44"/>
        <w:rPr>
          <w:rFonts w:ascii="Times New Roman" w:hAnsi="Times New Roman" w:cs="Times New Roman"/>
          <w:sz w:val="24"/>
          <w:szCs w:val="24"/>
        </w:rPr>
      </w:pPr>
      <w:r>
        <w:rPr>
          <w:rFonts w:ascii="Times New Roman" w:hAnsi="Times New Roman" w:cs="Times New Roman"/>
          <w:sz w:val="24"/>
          <w:szCs w:val="24"/>
        </w:rPr>
        <w:t>1.3.4. Книга по учету документов строгой отчетности</w:t>
      </w:r>
    </w:p>
    <w:p>
      <w:pPr>
        <w:pStyle w:val="44"/>
        <w:rPr>
          <w:rFonts w:ascii="Times New Roman" w:hAnsi="Times New Roman" w:cs="Times New Roman"/>
          <w:sz w:val="24"/>
          <w:szCs w:val="24"/>
        </w:rPr>
      </w:pPr>
      <w:r>
        <w:rPr>
          <w:rFonts w:ascii="Times New Roman" w:hAnsi="Times New Roman" w:cs="Times New Roman"/>
          <w:sz w:val="24"/>
          <w:szCs w:val="24"/>
        </w:rPr>
        <w:t>1.3.5. Приказ о создании комиссии по консервации основных средств</w:t>
      </w:r>
    </w:p>
    <w:p>
      <w:pPr>
        <w:pStyle w:val="44"/>
        <w:rPr>
          <w:rFonts w:ascii="Times New Roman" w:hAnsi="Times New Roman" w:cs="Times New Roman"/>
          <w:sz w:val="24"/>
          <w:szCs w:val="24"/>
        </w:rPr>
      </w:pPr>
      <w:r>
        <w:rPr>
          <w:rFonts w:ascii="Times New Roman" w:hAnsi="Times New Roman" w:cs="Times New Roman"/>
          <w:sz w:val="24"/>
          <w:szCs w:val="24"/>
        </w:rPr>
        <w:t>1.3.6. Приказ о переводе основных средств на консервацию</w:t>
      </w:r>
    </w:p>
    <w:p>
      <w:pPr>
        <w:pStyle w:val="44"/>
        <w:rPr>
          <w:rFonts w:ascii="Times New Roman" w:hAnsi="Times New Roman" w:cs="Times New Roman"/>
          <w:sz w:val="24"/>
          <w:szCs w:val="24"/>
        </w:rPr>
      </w:pPr>
      <w:r>
        <w:rPr>
          <w:rFonts w:ascii="Times New Roman" w:hAnsi="Times New Roman" w:cs="Times New Roman"/>
          <w:sz w:val="24"/>
          <w:szCs w:val="24"/>
        </w:rPr>
        <w:t>1.3.7. Акт о консервации объектов основных средств</w:t>
      </w:r>
    </w:p>
    <w:p>
      <w:pPr>
        <w:pStyle w:val="44"/>
        <w:rPr>
          <w:rFonts w:ascii="Times New Roman" w:hAnsi="Times New Roman" w:cs="Times New Roman"/>
          <w:sz w:val="24"/>
          <w:szCs w:val="24"/>
        </w:rPr>
      </w:pPr>
      <w:r>
        <w:rPr>
          <w:rFonts w:ascii="Times New Roman" w:hAnsi="Times New Roman" w:cs="Times New Roman"/>
          <w:sz w:val="24"/>
          <w:szCs w:val="24"/>
        </w:rPr>
        <w:t>1.3.8. Акт о расконсервации объектов основных средств</w:t>
      </w:r>
    </w:p>
    <w:p>
      <w:pPr>
        <w:pStyle w:val="44"/>
        <w:rPr>
          <w:rFonts w:ascii="Times New Roman" w:hAnsi="Times New Roman" w:cs="Times New Roman"/>
          <w:sz w:val="24"/>
          <w:szCs w:val="24"/>
        </w:rPr>
      </w:pPr>
      <w:r>
        <w:rPr>
          <w:rFonts w:ascii="Times New Roman" w:hAnsi="Times New Roman" w:cs="Times New Roman"/>
          <w:sz w:val="24"/>
          <w:szCs w:val="24"/>
        </w:rPr>
        <w:t>1.3.9. Заявление о выдаче денег под отчет</w:t>
      </w:r>
    </w:p>
    <w:p>
      <w:pPr>
        <w:pStyle w:val="44"/>
        <w:rPr>
          <w:rFonts w:ascii="Times New Roman" w:hAnsi="Times New Roman" w:cs="Times New Roman"/>
          <w:sz w:val="24"/>
          <w:szCs w:val="24"/>
        </w:rPr>
      </w:pPr>
      <w:r>
        <w:rPr>
          <w:rFonts w:ascii="Times New Roman" w:hAnsi="Times New Roman" w:cs="Times New Roman"/>
          <w:sz w:val="24"/>
          <w:szCs w:val="24"/>
        </w:rPr>
        <w:t>1.3.10. Акт инвентаризации незавершенного производства</w:t>
      </w:r>
    </w:p>
    <w:p>
      <w:pPr>
        <w:pStyle w:val="44"/>
        <w:rPr>
          <w:rFonts w:ascii="Times New Roman" w:hAnsi="Times New Roman" w:cs="Times New Roman"/>
          <w:sz w:val="24"/>
          <w:szCs w:val="24"/>
        </w:rPr>
      </w:pPr>
      <w:r>
        <w:rPr>
          <w:rFonts w:ascii="Times New Roman" w:hAnsi="Times New Roman" w:cs="Times New Roman"/>
          <w:sz w:val="24"/>
          <w:szCs w:val="24"/>
        </w:rPr>
        <w:t>1.3.11. Акт инвентаризации финансовых вложений (кроме ценных бумаг, хранящихся в кассе организации)</w:t>
      </w:r>
    </w:p>
    <w:p>
      <w:pPr>
        <w:pStyle w:val="44"/>
        <w:rPr>
          <w:rFonts w:ascii="Times New Roman" w:hAnsi="Times New Roman" w:cs="Times New Roman"/>
          <w:sz w:val="24"/>
          <w:szCs w:val="24"/>
        </w:rPr>
      </w:pPr>
      <w:r>
        <w:rPr>
          <w:rFonts w:ascii="Times New Roman" w:hAnsi="Times New Roman" w:cs="Times New Roman"/>
          <w:sz w:val="24"/>
          <w:szCs w:val="24"/>
        </w:rPr>
        <w:t>1.3.12. Путевой лист грузового автомобиля</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1.3.1. Бухгалтерская справка</w:t>
      </w:r>
    </w:p>
    <w:p>
      <w:pPr>
        <w:pStyle w:val="44"/>
        <w:rPr>
          <w:rFonts w:ascii="Times New Roman" w:hAnsi="Times New Roman" w:cs="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lang w:val="en-US"/>
        </w:rPr>
      </w:pPr>
      <w:r>
        <w:rPr>
          <w:rFonts w:ascii="Times New Roman" w:hAnsi="Times New Roman"/>
          <w:sz w:val="24"/>
          <w:szCs w:val="24"/>
        </w:rPr>
        <w:t>Организация _______________________________________________________________</w:t>
      </w:r>
      <w:r>
        <w:rPr>
          <w:rFonts w:ascii="Times New Roman" w:hAnsi="Times New Roman"/>
          <w:sz w:val="24"/>
          <w:szCs w:val="24"/>
          <w:lang w:val="en-US"/>
        </w:rPr>
        <w:t>_______________</w:t>
      </w:r>
    </w:p>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8516"/>
        <w:gridCol w:w="2256"/>
      </w:tblGrid>
      <w:tr>
        <w:tblPrEx>
          <w:tblLayout w:type="fixed"/>
          <w:tblCellMar>
            <w:top w:w="0" w:type="dxa"/>
            <w:left w:w="108" w:type="dxa"/>
            <w:bottom w:w="0" w:type="dxa"/>
            <w:right w:w="108" w:type="dxa"/>
          </w:tblCellMar>
        </w:tblPrEx>
        <w:tc>
          <w:tcPr>
            <w:tcW w:w="8516" w:type="dxa"/>
            <w:tcBorders>
              <w:top w:val="nil"/>
              <w:left w:val="nil"/>
              <w:bottom w:val="nil"/>
            </w:tcBorders>
          </w:tcPr>
          <w:p>
            <w:pPr>
              <w:spacing w:after="0" w:line="240" w:lineRule="auto"/>
              <w:outlineLvl w:val="0"/>
              <w:rPr>
                <w:rFonts w:ascii="Times New Roman" w:hAnsi="Times New Roman"/>
                <w:sz w:val="24"/>
                <w:szCs w:val="24"/>
              </w:rPr>
            </w:pPr>
          </w:p>
        </w:tc>
        <w:tc>
          <w:tcPr>
            <w:tcW w:w="2256" w:type="dxa"/>
          </w:tcPr>
          <w:p>
            <w:pPr>
              <w:spacing w:after="0" w:line="240" w:lineRule="auto"/>
              <w:jc w:val="center"/>
              <w:outlineLvl w:val="0"/>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br w:type="textWrapping"/>
            </w:r>
            <w:r>
              <w:rPr>
                <w:rFonts w:ascii="Times New Roman" w:hAnsi="Times New Roman"/>
                <w:sz w:val="24"/>
                <w:szCs w:val="24"/>
              </w:rPr>
              <w:t>составления</w:t>
            </w:r>
          </w:p>
        </w:tc>
      </w:tr>
      <w:tr>
        <w:tblPrEx>
          <w:tblLayout w:type="fixed"/>
          <w:tblCellMar>
            <w:top w:w="0" w:type="dxa"/>
            <w:left w:w="108" w:type="dxa"/>
            <w:bottom w:w="0" w:type="dxa"/>
            <w:right w:w="108" w:type="dxa"/>
          </w:tblCellMar>
        </w:tblPrEx>
        <w:trPr>
          <w:trHeight w:val="579" w:hRule="atLeast"/>
        </w:trPr>
        <w:tc>
          <w:tcPr>
            <w:tcW w:w="8516" w:type="dxa"/>
            <w:tcBorders>
              <w:top w:val="nil"/>
              <w:left w:val="nil"/>
              <w:bottom w:val="nil"/>
            </w:tcBorders>
            <w:vAlign w:val="center"/>
          </w:tcPr>
          <w:p>
            <w:pPr>
              <w:spacing w:after="0" w:line="240" w:lineRule="auto"/>
              <w:jc w:val="center"/>
              <w:outlineLvl w:val="0"/>
              <w:rPr>
                <w:rFonts w:ascii="Times New Roman" w:hAnsi="Times New Roman"/>
                <w:sz w:val="24"/>
                <w:szCs w:val="24"/>
              </w:rPr>
            </w:pPr>
            <w:r>
              <w:rPr>
                <w:rFonts w:ascii="Times New Roman" w:hAnsi="Times New Roman"/>
                <w:sz w:val="24"/>
                <w:szCs w:val="24"/>
              </w:rPr>
              <w:t>БУХГАЛТЕРСКАЯ СПРАВКА</w:t>
            </w:r>
          </w:p>
        </w:tc>
        <w:tc>
          <w:tcPr>
            <w:tcW w:w="2256" w:type="dxa"/>
          </w:tcPr>
          <w:p>
            <w:pPr>
              <w:spacing w:after="0" w:line="240" w:lineRule="auto"/>
              <w:outlineLvl w:val="0"/>
              <w:rPr>
                <w:rFonts w:ascii="Times New Roman" w:hAnsi="Times New Roman"/>
                <w:sz w:val="24"/>
                <w:szCs w:val="24"/>
              </w:rPr>
            </w:pPr>
          </w:p>
        </w:tc>
      </w:tr>
    </w:tbl>
    <w:p>
      <w:pPr>
        <w:widowControl w:val="0"/>
        <w:autoSpaceDE w:val="0"/>
        <w:autoSpaceDN w:val="0"/>
        <w:adjustRightInd w:val="0"/>
        <w:spacing w:after="0" w:line="240" w:lineRule="auto"/>
        <w:jc w:val="both"/>
        <w:outlineLvl w:val="0"/>
        <w:rPr>
          <w:rFonts w:ascii="Times New Roman" w:hAnsi="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Содержание факта хозяйственной</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жизни: ___________________________________________________________________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377"/>
        <w:gridCol w:w="2151"/>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Borders>
              <w:top w:val="single" w:color="auto" w:sz="6" w:space="0"/>
              <w:left w:val="single" w:color="auto" w:sz="6" w:space="0"/>
              <w:bottom w:val="single" w:color="auto" w:sz="6" w:space="0"/>
              <w:right w:val="single" w:color="auto" w:sz="6" w:space="0"/>
            </w:tcBorders>
          </w:tcPr>
          <w:p>
            <w:pPr>
              <w:pStyle w:val="45"/>
              <w:autoSpaceDE/>
              <w:jc w:val="center"/>
            </w:pPr>
            <w:r>
              <w:t>Номер п/п</w:t>
            </w:r>
          </w:p>
        </w:tc>
        <w:tc>
          <w:tcPr>
            <w:tcW w:w="3377" w:type="dxa"/>
            <w:vMerge w:val="restart"/>
            <w:tcBorders>
              <w:top w:val="single" w:color="auto" w:sz="6" w:space="0"/>
              <w:left w:val="single" w:color="auto" w:sz="6" w:space="0"/>
              <w:bottom w:val="nil"/>
              <w:right w:val="single" w:color="auto" w:sz="6" w:space="0"/>
            </w:tcBorders>
          </w:tcPr>
          <w:p>
            <w:pPr>
              <w:pStyle w:val="45"/>
              <w:autoSpaceDE/>
              <w:jc w:val="center"/>
            </w:pPr>
            <w:r>
              <w:t>Пояснения</w:t>
            </w:r>
          </w:p>
        </w:tc>
        <w:tc>
          <w:tcPr>
            <w:tcW w:w="2151" w:type="dxa"/>
            <w:vMerge w:val="restart"/>
            <w:tcBorders>
              <w:top w:val="single" w:color="auto" w:sz="6" w:space="0"/>
              <w:left w:val="single" w:color="auto" w:sz="6" w:space="0"/>
              <w:bottom w:val="nil"/>
              <w:right w:val="single" w:color="auto" w:sz="6" w:space="0"/>
            </w:tcBorders>
          </w:tcPr>
          <w:p>
            <w:pPr>
              <w:pStyle w:val="45"/>
              <w:autoSpaceDE/>
              <w:jc w:val="center"/>
            </w:pPr>
            <w:r>
              <w:t>Сумма, руб.</w:t>
            </w:r>
          </w:p>
        </w:tc>
        <w:tc>
          <w:tcPr>
            <w:tcW w:w="3685" w:type="dxa"/>
            <w:gridSpan w:val="2"/>
            <w:tcBorders>
              <w:top w:val="single" w:color="auto" w:sz="6" w:space="0"/>
              <w:left w:val="single" w:color="auto" w:sz="6" w:space="0"/>
              <w:bottom w:val="single" w:color="auto" w:sz="6" w:space="0"/>
              <w:right w:val="single" w:color="auto" w:sz="6" w:space="0"/>
            </w:tcBorders>
          </w:tcPr>
          <w:p>
            <w:pPr>
              <w:pStyle w:val="45"/>
              <w:autoSpaceDE/>
              <w:jc w:val="center"/>
            </w:pPr>
            <w:r>
              <w:t>Корреспонденция счетов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377"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2151"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center"/>
            </w:pPr>
            <w:r>
              <w:t>дебет</w:t>
            </w:r>
          </w:p>
        </w:tc>
        <w:tc>
          <w:tcPr>
            <w:tcW w:w="1842" w:type="dxa"/>
            <w:tcBorders>
              <w:top w:val="single" w:color="auto" w:sz="6" w:space="0"/>
              <w:left w:val="single" w:color="auto" w:sz="6" w:space="0"/>
              <w:bottom w:val="single" w:color="auto" w:sz="6" w:space="0"/>
              <w:right w:val="single" w:color="auto" w:sz="6" w:space="0"/>
            </w:tcBorders>
          </w:tcPr>
          <w:p>
            <w:pPr>
              <w:pStyle w:val="45"/>
              <w:autoSpaceDE/>
              <w:jc w:val="center"/>
            </w:pPr>
            <w:r>
              <w:t>кредит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29"/>
        <w:tblW w:w="10881" w:type="dxa"/>
        <w:tblInd w:w="0" w:type="dxa"/>
        <w:tblLayout w:type="fixed"/>
        <w:tblCellMar>
          <w:top w:w="0" w:type="dxa"/>
          <w:left w:w="108" w:type="dxa"/>
          <w:bottom w:w="0" w:type="dxa"/>
          <w:right w:w="108" w:type="dxa"/>
        </w:tblCellMar>
      </w:tblPr>
      <w:tblGrid>
        <w:gridCol w:w="2518"/>
        <w:gridCol w:w="284"/>
        <w:gridCol w:w="2268"/>
        <w:gridCol w:w="283"/>
        <w:gridCol w:w="1701"/>
        <w:gridCol w:w="284"/>
        <w:gridCol w:w="3543"/>
      </w:tblGrid>
      <w:tr>
        <w:tblPrEx>
          <w:tblLayout w:type="fixed"/>
          <w:tblCellMar>
            <w:top w:w="0" w:type="dxa"/>
            <w:left w:w="108" w:type="dxa"/>
            <w:bottom w:w="0" w:type="dxa"/>
            <w:right w:w="108" w:type="dxa"/>
          </w:tblCellMar>
        </w:tblPrEx>
        <w:tc>
          <w:tcPr>
            <w:tcW w:w="2518" w:type="dxa"/>
          </w:tcPr>
          <w:p>
            <w:pPr>
              <w:spacing w:after="0" w:line="240" w:lineRule="auto"/>
              <w:outlineLvl w:val="0"/>
              <w:rPr>
                <w:rFonts w:ascii="Times New Roman" w:hAnsi="Times New Roman"/>
                <w:sz w:val="24"/>
                <w:szCs w:val="24"/>
              </w:rPr>
            </w:pPr>
            <w:r>
              <w:rPr>
                <w:rFonts w:ascii="Times New Roman" w:hAnsi="Times New Roman"/>
                <w:sz w:val="24"/>
                <w:szCs w:val="24"/>
              </w:rPr>
              <w:t>Документ составил:</w:t>
            </w:r>
          </w:p>
        </w:tc>
        <w:tc>
          <w:tcPr>
            <w:tcW w:w="284" w:type="dxa"/>
          </w:tcPr>
          <w:p>
            <w:pPr>
              <w:spacing w:after="0" w:line="240" w:lineRule="auto"/>
              <w:rPr>
                <w:rFonts w:ascii="Times New Roman" w:hAnsi="Times New Roman"/>
                <w:sz w:val="24"/>
                <w:szCs w:val="24"/>
              </w:rPr>
            </w:pPr>
          </w:p>
        </w:tc>
        <w:tc>
          <w:tcPr>
            <w:tcW w:w="2268" w:type="dxa"/>
            <w:tcBorders>
              <w:bottom w:val="single" w:color="auto" w:sz="4" w:space="0"/>
            </w:tcBorders>
          </w:tcPr>
          <w:p>
            <w:pPr>
              <w:spacing w:after="0" w:line="240" w:lineRule="auto"/>
              <w:rPr>
                <w:rFonts w:ascii="Times New Roman" w:hAnsi="Times New Roman"/>
                <w:sz w:val="24"/>
                <w:szCs w:val="24"/>
              </w:rPr>
            </w:pPr>
          </w:p>
        </w:tc>
        <w:tc>
          <w:tcPr>
            <w:tcW w:w="283" w:type="dxa"/>
          </w:tcPr>
          <w:p>
            <w:pPr>
              <w:spacing w:after="0" w:line="240" w:lineRule="auto"/>
              <w:rPr>
                <w:rFonts w:ascii="Times New Roman" w:hAnsi="Times New Roman"/>
                <w:sz w:val="24"/>
                <w:szCs w:val="24"/>
              </w:rPr>
            </w:pPr>
          </w:p>
        </w:tc>
        <w:tc>
          <w:tcPr>
            <w:tcW w:w="1701" w:type="dxa"/>
            <w:tcBorders>
              <w:bottom w:val="single" w:color="auto" w:sz="4" w:space="0"/>
            </w:tcBorders>
          </w:tcPr>
          <w:p>
            <w:pPr>
              <w:spacing w:after="0" w:line="240" w:lineRule="auto"/>
              <w:rPr>
                <w:rFonts w:ascii="Times New Roman" w:hAnsi="Times New Roman"/>
                <w:sz w:val="24"/>
                <w:szCs w:val="24"/>
              </w:rPr>
            </w:pPr>
          </w:p>
        </w:tc>
        <w:tc>
          <w:tcPr>
            <w:tcW w:w="284" w:type="dxa"/>
          </w:tcPr>
          <w:p>
            <w:pPr>
              <w:spacing w:after="0" w:line="240" w:lineRule="auto"/>
              <w:rPr>
                <w:rFonts w:ascii="Times New Roman" w:hAnsi="Times New Roman"/>
                <w:sz w:val="24"/>
                <w:szCs w:val="24"/>
              </w:rPr>
            </w:pPr>
          </w:p>
        </w:tc>
        <w:tc>
          <w:tcPr>
            <w:tcW w:w="3543" w:type="dxa"/>
            <w:tcBorders>
              <w:bottom w:val="single" w:color="auto" w:sz="4" w:space="0"/>
            </w:tcBorders>
          </w:tcPr>
          <w:p>
            <w:pPr>
              <w:spacing w:after="0" w:line="240" w:lineRule="auto"/>
              <w:rPr>
                <w:rFonts w:ascii="Times New Roman" w:hAnsi="Times New Roman"/>
                <w:sz w:val="24"/>
                <w:szCs w:val="24"/>
              </w:rPr>
            </w:pPr>
          </w:p>
        </w:tc>
      </w:tr>
      <w:tr>
        <w:tblPrEx>
          <w:tblLayout w:type="fixed"/>
          <w:tblCellMar>
            <w:top w:w="0" w:type="dxa"/>
            <w:left w:w="108" w:type="dxa"/>
            <w:bottom w:w="0" w:type="dxa"/>
            <w:right w:w="108" w:type="dxa"/>
          </w:tblCellMar>
        </w:tblPrEx>
        <w:trPr>
          <w:trHeight w:val="229" w:hRule="atLeast"/>
        </w:trPr>
        <w:tc>
          <w:tcPr>
            <w:tcW w:w="2518" w:type="dxa"/>
          </w:tcPr>
          <w:p>
            <w:pPr>
              <w:spacing w:after="0" w:line="240" w:lineRule="auto"/>
              <w:jc w:val="center"/>
              <w:outlineLvl w:val="0"/>
              <w:rPr>
                <w:rFonts w:ascii="Times New Roman" w:hAnsi="Times New Roman"/>
                <w:sz w:val="20"/>
                <w:szCs w:val="20"/>
              </w:rPr>
            </w:pPr>
          </w:p>
        </w:tc>
        <w:tc>
          <w:tcPr>
            <w:tcW w:w="284" w:type="dxa"/>
          </w:tcPr>
          <w:p>
            <w:pPr>
              <w:spacing w:after="0" w:line="240" w:lineRule="auto"/>
              <w:jc w:val="center"/>
              <w:rPr>
                <w:rFonts w:ascii="Times New Roman" w:hAnsi="Times New Roman"/>
                <w:sz w:val="20"/>
                <w:szCs w:val="20"/>
              </w:rPr>
            </w:pPr>
          </w:p>
        </w:tc>
        <w:tc>
          <w:tcPr>
            <w:tcW w:w="2268" w:type="dxa"/>
            <w:tcBorders>
              <w:top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283" w:type="dxa"/>
          </w:tcPr>
          <w:p>
            <w:pPr>
              <w:spacing w:after="0" w:line="240" w:lineRule="auto"/>
              <w:jc w:val="center"/>
              <w:rPr>
                <w:rFonts w:ascii="Times New Roman" w:hAnsi="Times New Roman"/>
                <w:sz w:val="24"/>
                <w:szCs w:val="24"/>
              </w:rPr>
            </w:pPr>
          </w:p>
        </w:tc>
        <w:tc>
          <w:tcPr>
            <w:tcW w:w="1701" w:type="dxa"/>
            <w:tcBorders>
              <w:top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84" w:type="dxa"/>
          </w:tcPr>
          <w:p>
            <w:pPr>
              <w:spacing w:after="0" w:line="240" w:lineRule="auto"/>
              <w:jc w:val="center"/>
              <w:rPr>
                <w:rFonts w:ascii="Times New Roman" w:hAnsi="Times New Roman"/>
                <w:sz w:val="24"/>
                <w:szCs w:val="24"/>
              </w:rPr>
            </w:pPr>
          </w:p>
        </w:tc>
        <w:tc>
          <w:tcPr>
            <w:tcW w:w="3543" w:type="dxa"/>
            <w:tcBorders>
              <w:top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1.3.2. Бухгалтерская справка-расчет</w:t>
      </w:r>
    </w:p>
    <w:p>
      <w:pPr>
        <w:widowControl w:val="0"/>
        <w:autoSpaceDE w:val="0"/>
        <w:autoSpaceDN w:val="0"/>
        <w:adjustRightInd w:val="0"/>
        <w:spacing w:after="0" w:line="240" w:lineRule="auto"/>
        <w:jc w:val="both"/>
        <w:rPr>
          <w:rFonts w:ascii="Times New Roman" w:hAnsi="Times New Roman"/>
          <w:sz w:val="24"/>
          <w:szCs w:val="24"/>
          <w:lang w:eastAsia="ru-RU"/>
        </w:rPr>
      </w:pPr>
    </w:p>
    <w:p>
      <w:pPr>
        <w:widowControl w:val="0"/>
        <w:autoSpaceDE w:val="0"/>
        <w:autoSpaceDN w:val="0"/>
        <w:adjustRightInd w:val="0"/>
        <w:spacing w:after="0" w:line="240" w:lineRule="auto"/>
        <w:jc w:val="both"/>
        <w:outlineLvl w:val="0"/>
        <w:rPr>
          <w:rFonts w:ascii="Times New Roman" w:hAnsi="Times New Roman"/>
          <w:sz w:val="24"/>
          <w:szCs w:val="24"/>
          <w:lang w:val="en-US"/>
        </w:rPr>
      </w:pPr>
      <w:r>
        <w:rPr>
          <w:rFonts w:ascii="Times New Roman" w:hAnsi="Times New Roman"/>
          <w:sz w:val="24"/>
          <w:szCs w:val="24"/>
        </w:rPr>
        <w:t>Организация _______________________________________________________________</w:t>
      </w:r>
      <w:r>
        <w:rPr>
          <w:rFonts w:ascii="Times New Roman" w:hAnsi="Times New Roman"/>
          <w:sz w:val="24"/>
          <w:szCs w:val="24"/>
          <w:lang w:val="en-US"/>
        </w:rPr>
        <w:t>_______________</w:t>
      </w:r>
    </w:p>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8516"/>
        <w:gridCol w:w="2256"/>
      </w:tblGrid>
      <w:tr>
        <w:tblPrEx>
          <w:tblLayout w:type="fixed"/>
          <w:tblCellMar>
            <w:top w:w="0" w:type="dxa"/>
            <w:left w:w="108" w:type="dxa"/>
            <w:bottom w:w="0" w:type="dxa"/>
            <w:right w:w="108" w:type="dxa"/>
          </w:tblCellMar>
        </w:tblPrEx>
        <w:tc>
          <w:tcPr>
            <w:tcW w:w="8516" w:type="dxa"/>
            <w:tcBorders>
              <w:top w:val="nil"/>
              <w:left w:val="nil"/>
              <w:bottom w:val="nil"/>
            </w:tcBorders>
          </w:tcPr>
          <w:p>
            <w:pPr>
              <w:spacing w:after="0" w:line="240" w:lineRule="auto"/>
              <w:outlineLvl w:val="0"/>
              <w:rPr>
                <w:rFonts w:ascii="Times New Roman" w:hAnsi="Times New Roman"/>
                <w:sz w:val="24"/>
                <w:szCs w:val="24"/>
              </w:rPr>
            </w:pPr>
          </w:p>
        </w:tc>
        <w:tc>
          <w:tcPr>
            <w:tcW w:w="2256" w:type="dxa"/>
          </w:tcPr>
          <w:p>
            <w:pPr>
              <w:spacing w:after="0" w:line="240" w:lineRule="auto"/>
              <w:jc w:val="center"/>
              <w:outlineLvl w:val="0"/>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br w:type="textWrapping"/>
            </w:r>
            <w:r>
              <w:rPr>
                <w:rFonts w:ascii="Times New Roman" w:hAnsi="Times New Roman"/>
                <w:sz w:val="24"/>
                <w:szCs w:val="24"/>
              </w:rPr>
              <w:t>составления</w:t>
            </w:r>
          </w:p>
        </w:tc>
      </w:tr>
      <w:tr>
        <w:tblPrEx>
          <w:tblLayout w:type="fixed"/>
          <w:tblCellMar>
            <w:top w:w="0" w:type="dxa"/>
            <w:left w:w="108" w:type="dxa"/>
            <w:bottom w:w="0" w:type="dxa"/>
            <w:right w:w="108" w:type="dxa"/>
          </w:tblCellMar>
        </w:tblPrEx>
        <w:trPr>
          <w:trHeight w:val="579" w:hRule="atLeast"/>
        </w:trPr>
        <w:tc>
          <w:tcPr>
            <w:tcW w:w="8516" w:type="dxa"/>
            <w:tcBorders>
              <w:top w:val="nil"/>
              <w:left w:val="nil"/>
              <w:bottom w:val="nil"/>
            </w:tcBorders>
            <w:vAlign w:val="center"/>
          </w:tcPr>
          <w:p>
            <w:pPr>
              <w:spacing w:after="0" w:line="240" w:lineRule="auto"/>
              <w:jc w:val="center"/>
              <w:outlineLvl w:val="0"/>
              <w:rPr>
                <w:rFonts w:ascii="Times New Roman" w:hAnsi="Times New Roman"/>
                <w:sz w:val="24"/>
                <w:szCs w:val="24"/>
              </w:rPr>
            </w:pPr>
            <w:r>
              <w:rPr>
                <w:rFonts w:ascii="Times New Roman" w:hAnsi="Times New Roman"/>
                <w:sz w:val="24"/>
                <w:szCs w:val="24"/>
              </w:rPr>
              <w:t>БУХГАЛТЕРСКАЯ СПРАВКА-РАСЧЕТ</w:t>
            </w:r>
          </w:p>
        </w:tc>
        <w:tc>
          <w:tcPr>
            <w:tcW w:w="2256" w:type="dxa"/>
          </w:tcPr>
          <w:p>
            <w:pPr>
              <w:spacing w:after="0" w:line="240" w:lineRule="auto"/>
              <w:outlineLvl w:val="0"/>
              <w:rPr>
                <w:rFonts w:ascii="Times New Roman" w:hAnsi="Times New Roman"/>
                <w:sz w:val="24"/>
                <w:szCs w:val="24"/>
              </w:rPr>
            </w:pPr>
          </w:p>
        </w:tc>
      </w:tr>
    </w:tbl>
    <w:p>
      <w:pPr>
        <w:widowControl w:val="0"/>
        <w:autoSpaceDE w:val="0"/>
        <w:autoSpaceDN w:val="0"/>
        <w:adjustRightInd w:val="0"/>
        <w:spacing w:after="0" w:line="240" w:lineRule="auto"/>
        <w:jc w:val="both"/>
        <w:outlineLvl w:val="0"/>
        <w:rPr>
          <w:rFonts w:ascii="Times New Roman" w:hAnsi="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Содержание факта хозяйственной</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жизни: ___________________________________________________________________________________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Расчет показателя: _________________________________________________________________________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377"/>
        <w:gridCol w:w="2151"/>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Borders>
              <w:top w:val="single" w:color="auto" w:sz="6" w:space="0"/>
              <w:left w:val="single" w:color="auto" w:sz="6" w:space="0"/>
              <w:bottom w:val="single" w:color="auto" w:sz="6" w:space="0"/>
              <w:right w:val="single" w:color="auto" w:sz="6" w:space="0"/>
            </w:tcBorders>
          </w:tcPr>
          <w:p>
            <w:pPr>
              <w:pStyle w:val="45"/>
              <w:autoSpaceDE/>
              <w:jc w:val="center"/>
            </w:pPr>
            <w:r>
              <w:t>Номер п/п</w:t>
            </w:r>
          </w:p>
        </w:tc>
        <w:tc>
          <w:tcPr>
            <w:tcW w:w="3377" w:type="dxa"/>
            <w:vMerge w:val="restart"/>
            <w:tcBorders>
              <w:top w:val="single" w:color="auto" w:sz="6" w:space="0"/>
              <w:left w:val="single" w:color="auto" w:sz="6" w:space="0"/>
              <w:bottom w:val="nil"/>
              <w:right w:val="single" w:color="auto" w:sz="6" w:space="0"/>
            </w:tcBorders>
          </w:tcPr>
          <w:p>
            <w:pPr>
              <w:pStyle w:val="45"/>
              <w:autoSpaceDE/>
              <w:jc w:val="center"/>
            </w:pPr>
            <w:r>
              <w:t>Пояснения</w:t>
            </w:r>
          </w:p>
        </w:tc>
        <w:tc>
          <w:tcPr>
            <w:tcW w:w="2151" w:type="dxa"/>
            <w:vMerge w:val="restart"/>
            <w:tcBorders>
              <w:top w:val="single" w:color="auto" w:sz="6" w:space="0"/>
              <w:left w:val="single" w:color="auto" w:sz="6" w:space="0"/>
              <w:bottom w:val="nil"/>
              <w:right w:val="single" w:color="auto" w:sz="6" w:space="0"/>
            </w:tcBorders>
          </w:tcPr>
          <w:p>
            <w:pPr>
              <w:pStyle w:val="45"/>
              <w:autoSpaceDE/>
              <w:jc w:val="center"/>
            </w:pPr>
            <w:r>
              <w:t>Сумма, руб.</w:t>
            </w:r>
          </w:p>
        </w:tc>
        <w:tc>
          <w:tcPr>
            <w:tcW w:w="3685" w:type="dxa"/>
            <w:gridSpan w:val="2"/>
            <w:tcBorders>
              <w:top w:val="single" w:color="auto" w:sz="6" w:space="0"/>
              <w:left w:val="single" w:color="auto" w:sz="6" w:space="0"/>
              <w:bottom w:val="single" w:color="auto" w:sz="6" w:space="0"/>
              <w:right w:val="single" w:color="auto" w:sz="6" w:space="0"/>
            </w:tcBorders>
          </w:tcPr>
          <w:p>
            <w:pPr>
              <w:pStyle w:val="45"/>
              <w:autoSpaceDE/>
              <w:jc w:val="center"/>
            </w:pPr>
            <w:r>
              <w:t>Корреспонденция счетов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377"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2151"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center"/>
            </w:pPr>
            <w:r>
              <w:t>дебет</w:t>
            </w:r>
          </w:p>
        </w:tc>
        <w:tc>
          <w:tcPr>
            <w:tcW w:w="1842" w:type="dxa"/>
            <w:tcBorders>
              <w:top w:val="single" w:color="auto" w:sz="6" w:space="0"/>
              <w:left w:val="single" w:color="auto" w:sz="6" w:space="0"/>
              <w:bottom w:val="single" w:color="auto" w:sz="6" w:space="0"/>
              <w:right w:val="single" w:color="auto" w:sz="6" w:space="0"/>
            </w:tcBorders>
          </w:tcPr>
          <w:p>
            <w:pPr>
              <w:pStyle w:val="45"/>
              <w:autoSpaceDE/>
              <w:jc w:val="center"/>
            </w:pPr>
            <w:r>
              <w:t>кредит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37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2"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30"/>
        <w:tblW w:w="10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284"/>
        <w:gridCol w:w="2268"/>
        <w:gridCol w:w="283"/>
        <w:gridCol w:w="1701"/>
        <w:gridCol w:w="284"/>
        <w:gridCol w:w="3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18"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Документ составил:</w:t>
            </w:r>
          </w:p>
        </w:tc>
        <w:tc>
          <w:tcPr>
            <w:tcW w:w="284" w:type="dxa"/>
          </w:tcPr>
          <w:p>
            <w:pPr>
              <w:widowControl w:val="0"/>
              <w:autoSpaceDE w:val="0"/>
              <w:autoSpaceDN w:val="0"/>
              <w:adjustRightInd w:val="0"/>
              <w:spacing w:after="0" w:line="240" w:lineRule="auto"/>
              <w:rPr>
                <w:rFonts w:ascii="Times New Roman" w:hAnsi="Times New Roman"/>
                <w:sz w:val="24"/>
                <w:szCs w:val="24"/>
              </w:rPr>
            </w:pPr>
          </w:p>
        </w:tc>
        <w:tc>
          <w:tcPr>
            <w:tcW w:w="2268" w:type="dxa"/>
            <w:tcBorders>
              <w:bottom w:val="single" w:color="auto" w:sz="4" w:space="0"/>
            </w:tcBorders>
          </w:tcPr>
          <w:p>
            <w:pPr>
              <w:widowControl w:val="0"/>
              <w:autoSpaceDE w:val="0"/>
              <w:autoSpaceDN w:val="0"/>
              <w:adjustRightInd w:val="0"/>
              <w:spacing w:after="0" w:line="240" w:lineRule="auto"/>
              <w:rPr>
                <w:rFonts w:ascii="Times New Roman" w:hAnsi="Times New Roman"/>
                <w:sz w:val="24"/>
                <w:szCs w:val="24"/>
              </w:rPr>
            </w:pPr>
          </w:p>
        </w:tc>
        <w:tc>
          <w:tcPr>
            <w:tcW w:w="283" w:type="dxa"/>
          </w:tcPr>
          <w:p>
            <w:pPr>
              <w:widowControl w:val="0"/>
              <w:autoSpaceDE w:val="0"/>
              <w:autoSpaceDN w:val="0"/>
              <w:adjustRightInd w:val="0"/>
              <w:spacing w:after="0" w:line="240" w:lineRule="auto"/>
              <w:rPr>
                <w:rFonts w:ascii="Times New Roman" w:hAnsi="Times New Roman"/>
                <w:sz w:val="24"/>
                <w:szCs w:val="24"/>
              </w:rPr>
            </w:pPr>
          </w:p>
        </w:tc>
        <w:tc>
          <w:tcPr>
            <w:tcW w:w="1701" w:type="dxa"/>
            <w:tcBorders>
              <w:bottom w:val="single" w:color="auto" w:sz="4" w:space="0"/>
            </w:tcBorders>
          </w:tcPr>
          <w:p>
            <w:pPr>
              <w:widowControl w:val="0"/>
              <w:autoSpaceDE w:val="0"/>
              <w:autoSpaceDN w:val="0"/>
              <w:adjustRightInd w:val="0"/>
              <w:spacing w:after="0" w:line="240" w:lineRule="auto"/>
              <w:rPr>
                <w:rFonts w:ascii="Times New Roman" w:hAnsi="Times New Roman"/>
                <w:sz w:val="24"/>
                <w:szCs w:val="24"/>
              </w:rPr>
            </w:pPr>
          </w:p>
        </w:tc>
        <w:tc>
          <w:tcPr>
            <w:tcW w:w="284" w:type="dxa"/>
          </w:tcPr>
          <w:p>
            <w:pPr>
              <w:widowControl w:val="0"/>
              <w:autoSpaceDE w:val="0"/>
              <w:autoSpaceDN w:val="0"/>
              <w:adjustRightInd w:val="0"/>
              <w:spacing w:after="0" w:line="240" w:lineRule="auto"/>
              <w:rPr>
                <w:rFonts w:ascii="Times New Roman" w:hAnsi="Times New Roman"/>
                <w:sz w:val="24"/>
                <w:szCs w:val="24"/>
              </w:rPr>
            </w:pPr>
          </w:p>
        </w:tc>
        <w:tc>
          <w:tcPr>
            <w:tcW w:w="3543" w:type="dxa"/>
            <w:tcBorders>
              <w:bottom w:val="single" w:color="auto" w:sz="4" w:space="0"/>
            </w:tcBorders>
          </w:tcPr>
          <w:p>
            <w:pPr>
              <w:widowControl w:val="0"/>
              <w:autoSpaceDE w:val="0"/>
              <w:autoSpaceDN w:val="0"/>
              <w:adjustRightInd w:val="0"/>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2518" w:type="dxa"/>
          </w:tcPr>
          <w:p>
            <w:pPr>
              <w:widowControl w:val="0"/>
              <w:autoSpaceDE w:val="0"/>
              <w:autoSpaceDN w:val="0"/>
              <w:adjustRightInd w:val="0"/>
              <w:spacing w:after="0" w:line="240" w:lineRule="auto"/>
              <w:jc w:val="center"/>
              <w:outlineLvl w:val="0"/>
              <w:rPr>
                <w:rFonts w:ascii="Times New Roman" w:hAnsi="Times New Roman"/>
                <w:sz w:val="20"/>
                <w:szCs w:val="20"/>
              </w:rPr>
            </w:pPr>
          </w:p>
        </w:tc>
        <w:tc>
          <w:tcPr>
            <w:tcW w:w="284" w:type="dxa"/>
          </w:tcPr>
          <w:p>
            <w:pPr>
              <w:widowControl w:val="0"/>
              <w:autoSpaceDE w:val="0"/>
              <w:autoSpaceDN w:val="0"/>
              <w:adjustRightInd w:val="0"/>
              <w:spacing w:after="0" w:line="240" w:lineRule="auto"/>
              <w:jc w:val="center"/>
              <w:rPr>
                <w:rFonts w:ascii="Times New Roman" w:hAnsi="Times New Roman"/>
                <w:sz w:val="20"/>
                <w:szCs w:val="20"/>
              </w:rPr>
            </w:pPr>
          </w:p>
        </w:tc>
        <w:tc>
          <w:tcPr>
            <w:tcW w:w="2268" w:type="dxa"/>
            <w:tcBorders>
              <w:top w:val="single" w:color="auto" w:sz="4" w:space="0"/>
            </w:tcBorders>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283" w:type="dxa"/>
          </w:tcPr>
          <w:p>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color="auto" w:sz="4" w:space="0"/>
            </w:tcBorders>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84" w:type="dxa"/>
          </w:tcPr>
          <w:p>
            <w:pPr>
              <w:widowControl w:val="0"/>
              <w:autoSpaceDE w:val="0"/>
              <w:autoSpaceDN w:val="0"/>
              <w:adjustRightInd w:val="0"/>
              <w:spacing w:after="0" w:line="240" w:lineRule="auto"/>
              <w:jc w:val="center"/>
              <w:rPr>
                <w:rFonts w:ascii="Times New Roman" w:hAnsi="Times New Roman"/>
                <w:sz w:val="24"/>
                <w:szCs w:val="24"/>
              </w:rPr>
            </w:pPr>
          </w:p>
        </w:tc>
        <w:tc>
          <w:tcPr>
            <w:tcW w:w="3543" w:type="dxa"/>
            <w:tcBorders>
              <w:top w:val="single" w:color="auto" w:sz="4" w:space="0"/>
            </w:tcBorders>
          </w:tcPr>
          <w:p>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r>
    </w:tbl>
    <w:p>
      <w:pPr>
        <w:pStyle w:val="44"/>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1.3.3. Накладная</w:t>
      </w:r>
    </w:p>
    <w:p>
      <w:pPr>
        <w:pStyle w:val="44"/>
        <w:rPr>
          <w:rFonts w:ascii="Times New Roman" w:hAnsi="Times New Roman" w:cs="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lang w:val="en-US"/>
        </w:rPr>
      </w:pPr>
      <w:r>
        <w:rPr>
          <w:rFonts w:ascii="Times New Roman" w:hAnsi="Times New Roman"/>
          <w:sz w:val="24"/>
          <w:szCs w:val="24"/>
        </w:rPr>
        <w:t>Организация _______________________________________________________________</w:t>
      </w:r>
      <w:r>
        <w:rPr>
          <w:rFonts w:ascii="Times New Roman" w:hAnsi="Times New Roman"/>
          <w:sz w:val="24"/>
          <w:szCs w:val="24"/>
          <w:lang w:val="en-US"/>
        </w:rPr>
        <w:t>_______________</w:t>
      </w:r>
    </w:p>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30"/>
        <w:tblW w:w="10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7"/>
        <w:gridCol w:w="177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7" w:type="dxa"/>
            <w:tcBorders>
              <w:top w:val="nil"/>
              <w:left w:val="nil"/>
              <w:bottom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71"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Номер</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документа</w:t>
            </w:r>
          </w:p>
        </w:tc>
        <w:tc>
          <w:tcPr>
            <w:tcW w:w="2059"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Дата</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составления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937" w:type="dxa"/>
            <w:tcBorders>
              <w:top w:val="nil"/>
              <w:left w:val="nil"/>
              <w:bottom w:val="nil"/>
            </w:tcBorders>
            <w:vAlign w:val="center"/>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НАКЛАДНАЯ</w:t>
            </w:r>
          </w:p>
        </w:tc>
        <w:tc>
          <w:tcPr>
            <w:tcW w:w="1771"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059" w:type="dxa"/>
          </w:tcPr>
          <w:p>
            <w:pPr>
              <w:widowControl w:val="0"/>
              <w:autoSpaceDE w:val="0"/>
              <w:autoSpaceDN w:val="0"/>
              <w:adjustRightInd w:val="0"/>
              <w:spacing w:after="0" w:line="240" w:lineRule="auto"/>
              <w:jc w:val="both"/>
              <w:outlineLvl w:val="0"/>
              <w:rPr>
                <w:rFonts w:ascii="Times New Roman" w:hAnsi="Times New Roman"/>
                <w:sz w:val="24"/>
                <w:szCs w:val="24"/>
              </w:rPr>
            </w:pPr>
          </w:p>
        </w:tc>
      </w:tr>
    </w:tbl>
    <w:p>
      <w:pPr>
        <w:widowControl w:val="0"/>
        <w:autoSpaceDE w:val="0"/>
        <w:autoSpaceDN w:val="0"/>
        <w:adjustRightInd w:val="0"/>
        <w:spacing w:after="0" w:line="240" w:lineRule="auto"/>
        <w:jc w:val="both"/>
        <w:outlineLvl w:val="0"/>
        <w:rPr>
          <w:rFonts w:ascii="Times New Roman" w:hAnsi="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 xml:space="preserve">Отправитель </w:t>
      </w:r>
      <w:r>
        <w:rPr>
          <w:rFonts w:ascii="Times New Roman" w:hAnsi="Times New Roman"/>
          <w:sz w:val="24"/>
          <w:szCs w:val="24"/>
        </w:rPr>
        <w:t>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 xml:space="preserve">Получатель </w:t>
      </w:r>
      <w:r>
        <w:rPr>
          <w:rFonts w:ascii="Times New Roman" w:hAnsi="Times New Roman"/>
          <w:sz w:val="24"/>
          <w:szCs w:val="24"/>
        </w:rPr>
        <w:t>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 xml:space="preserve">Основание </w:t>
      </w:r>
      <w:r>
        <w:rPr>
          <w:rFonts w:ascii="Times New Roman" w:hAnsi="Times New Roman"/>
          <w:sz w:val="24"/>
          <w:szCs w:val="24"/>
        </w:rPr>
        <w:t>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 xml:space="preserve">Через кого </w:t>
      </w:r>
      <w:r>
        <w:rPr>
          <w:rFonts w:ascii="Times New Roman" w:hAnsi="Times New Roman"/>
          <w:sz w:val="24"/>
          <w:szCs w:val="24"/>
        </w:rPr>
        <w:t>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___</w:t>
      </w: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 xml:space="preserve">По документу </w:t>
      </w:r>
      <w:r>
        <w:rPr>
          <w:rFonts w:ascii="Times New Roman" w:hAnsi="Times New Roman"/>
          <w:sz w:val="24"/>
          <w:szCs w:val="24"/>
        </w:rPr>
        <w:t>______________________________________________________________</w:t>
      </w:r>
      <w:r>
        <w:rPr>
          <w:rFonts w:ascii="Times New Roman" w:hAnsi="Times New Roman"/>
          <w:sz w:val="24"/>
          <w:szCs w:val="24"/>
          <w:lang w:val="en-US"/>
        </w:rPr>
        <w:t>_______________</w:t>
      </w:r>
      <w:r>
        <w:rPr>
          <w:rFonts w:ascii="Times New Roman" w:hAnsi="Times New Roman"/>
          <w:sz w:val="24"/>
          <w:szCs w:val="24"/>
        </w:rPr>
        <w:t>_</w:t>
      </w:r>
    </w:p>
    <w:p>
      <w:pPr>
        <w:pStyle w:val="44"/>
        <w:rPr>
          <w:rFonts w:ascii="Times New Roman" w:hAnsi="Times New Roman" w:cs="Times New Roman"/>
          <w:sz w:val="24"/>
          <w:szCs w:val="24"/>
        </w:rPr>
      </w:pPr>
    </w:p>
    <w:tbl>
      <w:tblPr>
        <w:tblStyle w:val="29"/>
        <w:tblW w:w="11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857"/>
        <w:gridCol w:w="1800"/>
        <w:gridCol w:w="957"/>
        <w:gridCol w:w="957"/>
        <w:gridCol w:w="1304"/>
        <w:gridCol w:w="1474"/>
        <w:gridCol w:w="95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vMerge w:val="restart"/>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3657" w:type="dxa"/>
            <w:gridSpan w:val="2"/>
            <w:tcBorders>
              <w:top w:val="single" w:color="auto" w:sz="6" w:space="0"/>
              <w:left w:val="single" w:color="auto" w:sz="6" w:space="0"/>
              <w:bottom w:val="single" w:color="auto" w:sz="6" w:space="0"/>
              <w:right w:val="single" w:color="auto" w:sz="6" w:space="0"/>
            </w:tcBorders>
          </w:tcPr>
          <w:p>
            <w:pPr>
              <w:pStyle w:val="45"/>
              <w:autoSpaceDE/>
              <w:jc w:val="center"/>
            </w:pPr>
            <w:r>
              <w:t>Материальные ценности</w:t>
            </w:r>
          </w:p>
        </w:tc>
        <w:tc>
          <w:tcPr>
            <w:tcW w:w="957" w:type="dxa"/>
            <w:vMerge w:val="restart"/>
            <w:tcBorders>
              <w:top w:val="single" w:color="auto" w:sz="6" w:space="0"/>
              <w:left w:val="single" w:color="auto" w:sz="6" w:space="0"/>
              <w:bottom w:val="nil"/>
              <w:right w:val="single" w:color="auto" w:sz="6" w:space="0"/>
            </w:tcBorders>
          </w:tcPr>
          <w:p>
            <w:pPr>
              <w:pStyle w:val="45"/>
              <w:autoSpaceDE/>
              <w:jc w:val="center"/>
            </w:pPr>
            <w:r>
              <w:t>Ед. изм.</w:t>
            </w:r>
          </w:p>
        </w:tc>
        <w:tc>
          <w:tcPr>
            <w:tcW w:w="957" w:type="dxa"/>
            <w:vMerge w:val="restart"/>
            <w:tcBorders>
              <w:top w:val="single" w:color="auto" w:sz="6" w:space="0"/>
              <w:left w:val="single" w:color="auto" w:sz="6" w:space="0"/>
              <w:bottom w:val="nil"/>
              <w:right w:val="single" w:color="auto" w:sz="6" w:space="0"/>
            </w:tcBorders>
          </w:tcPr>
          <w:p>
            <w:pPr>
              <w:pStyle w:val="45"/>
              <w:autoSpaceDE/>
              <w:jc w:val="center"/>
            </w:pPr>
            <w:r>
              <w:t>Кол.</w:t>
            </w:r>
          </w:p>
        </w:tc>
        <w:tc>
          <w:tcPr>
            <w:tcW w:w="1304" w:type="dxa"/>
            <w:vMerge w:val="restart"/>
            <w:tcBorders>
              <w:top w:val="single" w:color="auto" w:sz="6" w:space="0"/>
              <w:left w:val="single" w:color="auto" w:sz="6" w:space="0"/>
              <w:bottom w:val="nil"/>
              <w:right w:val="single" w:color="auto" w:sz="6" w:space="0"/>
            </w:tcBorders>
          </w:tcPr>
          <w:p>
            <w:pPr>
              <w:pStyle w:val="45"/>
              <w:autoSpaceDE/>
              <w:jc w:val="center"/>
            </w:pPr>
            <w:r>
              <w:t>Цена за единицу, руб., коп.</w:t>
            </w:r>
          </w:p>
        </w:tc>
        <w:tc>
          <w:tcPr>
            <w:tcW w:w="1474" w:type="dxa"/>
            <w:vMerge w:val="restart"/>
            <w:tcBorders>
              <w:top w:val="single" w:color="auto" w:sz="6" w:space="0"/>
              <w:left w:val="single" w:color="auto" w:sz="6" w:space="0"/>
              <w:bottom w:val="nil"/>
              <w:right w:val="single" w:color="auto" w:sz="6" w:space="0"/>
            </w:tcBorders>
          </w:tcPr>
          <w:p>
            <w:pPr>
              <w:pStyle w:val="45"/>
              <w:autoSpaceDE/>
              <w:jc w:val="center"/>
            </w:pPr>
            <w:r>
              <w:t>Сумма без учета НДС, руб., коп.</w:t>
            </w:r>
          </w:p>
        </w:tc>
        <w:tc>
          <w:tcPr>
            <w:tcW w:w="957" w:type="dxa"/>
            <w:vMerge w:val="restart"/>
            <w:tcBorders>
              <w:top w:val="single" w:color="auto" w:sz="6" w:space="0"/>
              <w:left w:val="single" w:color="auto" w:sz="6" w:space="0"/>
              <w:bottom w:val="nil"/>
              <w:right w:val="single" w:color="auto" w:sz="6" w:space="0"/>
            </w:tcBorders>
          </w:tcPr>
          <w:p>
            <w:pPr>
              <w:pStyle w:val="45"/>
              <w:autoSpaceDE/>
              <w:jc w:val="center"/>
            </w:pPr>
            <w:r>
              <w:t>НДС, руб., коп.</w:t>
            </w:r>
          </w:p>
        </w:tc>
        <w:tc>
          <w:tcPr>
            <w:tcW w:w="1020" w:type="dxa"/>
            <w:vMerge w:val="restart"/>
            <w:tcBorders>
              <w:top w:val="single" w:color="auto" w:sz="6" w:space="0"/>
              <w:left w:val="single" w:color="auto" w:sz="6" w:space="0"/>
              <w:bottom w:val="nil"/>
              <w:right w:val="single" w:color="auto" w:sz="6" w:space="0"/>
            </w:tcBorders>
          </w:tcPr>
          <w:p>
            <w:pPr>
              <w:pStyle w:val="45"/>
              <w:autoSpaceDE/>
              <w:jc w:val="center"/>
            </w:pPr>
            <w:r>
              <w:t>Всего с учетом НДС,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 сорт, размер, марка</w:t>
            </w:r>
          </w:p>
        </w:tc>
        <w:tc>
          <w:tcPr>
            <w:tcW w:w="1800" w:type="dxa"/>
            <w:tcBorders>
              <w:top w:val="single" w:color="auto" w:sz="6" w:space="0"/>
              <w:left w:val="single" w:color="auto" w:sz="6" w:space="0"/>
              <w:bottom w:val="single" w:color="auto" w:sz="6" w:space="0"/>
              <w:right w:val="single" w:color="auto" w:sz="6" w:space="0"/>
            </w:tcBorders>
          </w:tcPr>
          <w:p>
            <w:pPr>
              <w:pStyle w:val="45"/>
              <w:autoSpaceDE/>
              <w:jc w:val="center"/>
            </w:pPr>
            <w:r>
              <w:t>номенклатурный номер</w:t>
            </w:r>
          </w:p>
        </w:tc>
        <w:tc>
          <w:tcPr>
            <w:tcW w:w="95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5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30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47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57"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020"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0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30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7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95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0"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30"/>
        <w:tblW w:w="10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7"/>
        <w:gridCol w:w="281"/>
        <w:gridCol w:w="539"/>
        <w:gridCol w:w="280"/>
        <w:gridCol w:w="129"/>
        <w:gridCol w:w="236"/>
        <w:gridCol w:w="2110"/>
        <w:gridCol w:w="555"/>
        <w:gridCol w:w="448"/>
        <w:gridCol w:w="344"/>
        <w:gridCol w:w="73"/>
        <w:gridCol w:w="343"/>
        <w:gridCol w:w="726"/>
        <w:gridCol w:w="189"/>
        <w:gridCol w:w="367"/>
        <w:gridCol w:w="277"/>
        <w:gridCol w:w="661"/>
        <w:gridCol w:w="98"/>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Всего отпущено</w:t>
            </w: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822" w:type="dxa"/>
            <w:gridSpan w:val="6"/>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1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077" w:type="dxa"/>
            <w:gridSpan w:val="7"/>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наименований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238" w:type="dxa"/>
            <w:gridSpan w:val="8"/>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(прописью)</w:t>
            </w:r>
          </w:p>
        </w:tc>
        <w:tc>
          <w:tcPr>
            <w:tcW w:w="915"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5"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85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7"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на сумму</w:t>
            </w:r>
          </w:p>
        </w:tc>
        <w:tc>
          <w:tcPr>
            <w:tcW w:w="281"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641" w:type="dxa"/>
            <w:gridSpan w:val="8"/>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1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915"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руб.</w:t>
            </w:r>
          </w:p>
        </w:tc>
        <w:tc>
          <w:tcPr>
            <w:tcW w:w="644" w:type="dxa"/>
            <w:gridSpan w:val="2"/>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61"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коп.,</w:t>
            </w:r>
          </w:p>
        </w:tc>
        <w:tc>
          <w:tcPr>
            <w:tcW w:w="185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7"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1"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641" w:type="dxa"/>
            <w:gridSpan w:val="8"/>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(прописью)</w:t>
            </w:r>
          </w:p>
        </w:tc>
        <w:tc>
          <w:tcPr>
            <w:tcW w:w="41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915"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44" w:type="dxa"/>
            <w:gridSpan w:val="2"/>
            <w:tcBorders>
              <w:top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61"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85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86" w:type="dxa"/>
            <w:gridSpan w:val="5"/>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в том числе сумма НДС</w:t>
            </w:r>
          </w:p>
        </w:tc>
        <w:tc>
          <w:tcPr>
            <w:tcW w:w="236"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457" w:type="dxa"/>
            <w:gridSpan w:val="4"/>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1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915"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руб.</w:t>
            </w:r>
          </w:p>
        </w:tc>
        <w:tc>
          <w:tcPr>
            <w:tcW w:w="644" w:type="dxa"/>
            <w:gridSpan w:val="2"/>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61"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коп.</w:t>
            </w:r>
          </w:p>
        </w:tc>
        <w:tc>
          <w:tcPr>
            <w:tcW w:w="185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86" w:type="dxa"/>
            <w:gridSpan w:val="5"/>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36"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457" w:type="dxa"/>
            <w:gridSpan w:val="4"/>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(прописью)</w:t>
            </w:r>
          </w:p>
        </w:tc>
        <w:tc>
          <w:tcPr>
            <w:tcW w:w="41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915"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5"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85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Отпуск разрешил</w:t>
            </w: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123" w:type="dxa"/>
            <w:gridSpan w:val="6"/>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67"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(должность)</w:t>
            </w: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123" w:type="dxa"/>
            <w:gridSpan w:val="6"/>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(подпись)</w:t>
            </w:r>
          </w:p>
        </w:tc>
        <w:tc>
          <w:tcPr>
            <w:tcW w:w="367"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Отпустил</w:t>
            </w: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123" w:type="dxa"/>
            <w:gridSpan w:val="6"/>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67"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Borders>
              <w:top w:val="single" w:color="auto" w:sz="4"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(должность)</w:t>
            </w: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123" w:type="dxa"/>
            <w:gridSpan w:val="6"/>
            <w:tcBorders>
              <w:top w:val="single" w:color="auto" w:sz="4"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(подпись)</w:t>
            </w:r>
          </w:p>
        </w:tc>
        <w:tc>
          <w:tcPr>
            <w:tcW w:w="367"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Borders>
              <w:top w:val="single" w:color="auto" w:sz="4"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Главный бухгалтер</w:t>
            </w: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478" w:type="dxa"/>
            <w:gridSpan w:val="5"/>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41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661" w:type="dxa"/>
            <w:gridSpan w:val="7"/>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59" w:type="dxa"/>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478" w:type="dxa"/>
            <w:gridSpan w:val="5"/>
            <w:tcBorders>
              <w:top w:val="single" w:color="auto" w:sz="4"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(подпись)</w:t>
            </w:r>
          </w:p>
        </w:tc>
        <w:tc>
          <w:tcPr>
            <w:tcW w:w="417"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661" w:type="dxa"/>
            <w:gridSpan w:val="7"/>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(расшифровка подписи)</w:t>
            </w:r>
          </w:p>
        </w:tc>
        <w:tc>
          <w:tcPr>
            <w:tcW w:w="1759" w:type="dxa"/>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lang w:eastAsia="ru-RU"/>
              </w:rPr>
              <w:t>Получил</w:t>
            </w: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34" w:type="dxa"/>
            <w:gridSpan w:val="5"/>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55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Borders>
              <w:bottom w:val="single" w:color="auto" w:sz="4"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7"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80"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475" w:type="dxa"/>
            <w:gridSpan w:val="3"/>
            <w:tcBorders>
              <w:top w:val="single" w:color="auto" w:sz="4"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(должность)</w:t>
            </w:r>
          </w:p>
        </w:tc>
        <w:tc>
          <w:tcPr>
            <w:tcW w:w="555"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34" w:type="dxa"/>
            <w:gridSpan w:val="5"/>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(подпись)</w:t>
            </w:r>
          </w:p>
        </w:tc>
        <w:tc>
          <w:tcPr>
            <w:tcW w:w="556" w:type="dxa"/>
            <w:gridSpan w:val="2"/>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95" w:type="dxa"/>
            <w:gridSpan w:val="4"/>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vertAlign w:val="superscript"/>
              </w:rPr>
              <w:t>(расшифровка подписи)</w:t>
            </w:r>
          </w:p>
        </w:tc>
      </w:tr>
    </w:tbl>
    <w:p>
      <w:pPr>
        <w:pStyle w:val="44"/>
        <w:jc w:val="center"/>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1.3.4. Книга по учету документов строгой отчетности</w:t>
      </w:r>
    </w:p>
    <w:p>
      <w:pPr>
        <w:pStyle w:val="44"/>
        <w:rPr>
          <w:rFonts w:ascii="Times New Roman" w:hAnsi="Times New Roman" w:cs="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Borders>
              <w:top w:val="nil"/>
              <w:left w:val="nil"/>
              <w:bottom w:val="single" w:color="auto" w:sz="2" w:space="0"/>
              <w:right w:val="nil"/>
            </w:tcBorders>
          </w:tcPr>
          <w:p>
            <w:pPr>
              <w:widowControl w:val="0"/>
              <w:spacing w:after="0" w:line="240" w:lineRule="auto"/>
              <w:jc w:val="center"/>
              <w:rPr>
                <w:rFonts w:ascii="Times New Roman" w:hAnsi="Times New Roman"/>
                <w:sz w:val="24"/>
                <w:szCs w:val="24"/>
                <w:lang w:eastAsia="ru-RU"/>
              </w:rPr>
            </w:pPr>
            <w:r>
              <w:rPr>
                <w:rFonts w:ascii="Times New Roman" w:hAnsi="Times New Roman"/>
                <w:i/>
                <w:sz w:val="24"/>
                <w:szCs w:val="24"/>
                <w:lang w:eastAsia="ru-RU"/>
              </w:rPr>
              <w:t>Обложка</w:t>
            </w:r>
          </w:p>
        </w:tc>
      </w:tr>
      <w:tr>
        <w:tblPrEx>
          <w:tblLayout w:type="fixed"/>
          <w:tblCellMar>
            <w:top w:w="0" w:type="dxa"/>
            <w:left w:w="108" w:type="dxa"/>
            <w:bottom w:w="0" w:type="dxa"/>
            <w:right w:w="108" w:type="dxa"/>
          </w:tblCellMar>
        </w:tblPrEx>
        <w:trPr>
          <w:trHeight w:val="2185" w:hRule="atLeast"/>
        </w:trPr>
        <w:tc>
          <w:tcPr>
            <w:tcW w:w="10772" w:type="dxa"/>
            <w:tcBorders>
              <w:top w:val="single" w:color="auto" w:sz="2" w:space="0"/>
              <w:left w:val="single" w:color="auto" w:sz="2" w:space="0"/>
              <w:bottom w:val="single" w:color="auto" w:sz="2" w:space="0"/>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(организация)</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(структурное подразделение)</w:t>
            </w:r>
          </w:p>
          <w:p>
            <w:pPr>
              <w:widowControl w:val="0"/>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Книга по учету документов строгой отчетности</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 открытия _______________ г.</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 закрытия _______________ г.</w:t>
            </w:r>
          </w:p>
        </w:tc>
      </w:tr>
    </w:tbl>
    <w:p>
      <w:pPr>
        <w:widowControl w:val="0"/>
        <w:spacing w:after="0" w:line="240" w:lineRule="auto"/>
        <w:jc w:val="both"/>
        <w:rPr>
          <w:rFonts w:ascii="Times New Roman" w:hAnsi="Times New Roman"/>
          <w:sz w:val="24"/>
          <w:szCs w:val="24"/>
          <w:lang w:eastAsia="ru-RU"/>
        </w:rPr>
      </w:pPr>
    </w:p>
    <w:tbl>
      <w:tblPr>
        <w:tblStyle w:val="29"/>
        <w:tblW w:w="10772" w:type="dxa"/>
        <w:tblInd w:w="0" w:type="dxa"/>
        <w:tblLayout w:type="fixed"/>
        <w:tblCellMar>
          <w:top w:w="0" w:type="dxa"/>
          <w:left w:w="108" w:type="dxa"/>
          <w:bottom w:w="0" w:type="dxa"/>
          <w:right w:w="108" w:type="dxa"/>
        </w:tblCellMar>
      </w:tblPr>
      <w:tblGrid>
        <w:gridCol w:w="6956"/>
        <w:gridCol w:w="3816"/>
      </w:tblGrid>
      <w:tr>
        <w:tblPrEx>
          <w:tblLayout w:type="fixed"/>
          <w:tblCellMar>
            <w:top w:w="0" w:type="dxa"/>
            <w:left w:w="108" w:type="dxa"/>
            <w:bottom w:w="0" w:type="dxa"/>
            <w:right w:w="108" w:type="dxa"/>
          </w:tblCellMar>
        </w:tblPrEx>
        <w:tc>
          <w:tcPr>
            <w:tcW w:w="10772" w:type="dxa"/>
            <w:gridSpan w:val="2"/>
            <w:tcBorders>
              <w:top w:val="nil"/>
              <w:left w:val="nil"/>
              <w:bottom w:val="single" w:color="auto" w:sz="2" w:space="0"/>
              <w:right w:val="nil"/>
            </w:tcBorders>
          </w:tcPr>
          <w:p>
            <w:pPr>
              <w:widowControl w:val="0"/>
              <w:spacing w:after="0" w:line="240" w:lineRule="auto"/>
              <w:jc w:val="center"/>
              <w:rPr>
                <w:rFonts w:ascii="Times New Roman" w:hAnsi="Times New Roman"/>
                <w:sz w:val="24"/>
                <w:szCs w:val="24"/>
                <w:lang w:eastAsia="ru-RU"/>
              </w:rPr>
            </w:pPr>
            <w:r>
              <w:rPr>
                <w:rFonts w:ascii="Times New Roman" w:hAnsi="Times New Roman"/>
                <w:i/>
                <w:sz w:val="24"/>
                <w:szCs w:val="24"/>
                <w:lang w:eastAsia="ru-RU"/>
              </w:rPr>
              <w:t>Титульный лист</w:t>
            </w:r>
          </w:p>
        </w:tc>
      </w:tr>
      <w:tr>
        <w:tblPrEx>
          <w:tblLayout w:type="fixed"/>
          <w:tblCellMar>
            <w:top w:w="0" w:type="dxa"/>
            <w:left w:w="108" w:type="dxa"/>
            <w:bottom w:w="0" w:type="dxa"/>
            <w:right w:w="108" w:type="dxa"/>
          </w:tblCellMar>
        </w:tblPrEx>
        <w:tc>
          <w:tcPr>
            <w:tcW w:w="10772" w:type="dxa"/>
            <w:gridSpan w:val="2"/>
            <w:tcBorders>
              <w:top w:val="single" w:color="auto" w:sz="2" w:space="0"/>
              <w:left w:val="single" w:color="auto" w:sz="2" w:space="0"/>
              <w:bottom w:val="nil"/>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(организация)</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(структурное подразделение)</w:t>
            </w:r>
          </w:p>
          <w:p>
            <w:pPr>
              <w:widowControl w:val="0"/>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Книга по учету документов строгой отчетности</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 открытия_______________ г.</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 закрытия _______________ г.</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Layout w:type="fixed"/>
          <w:tblCellMar>
            <w:top w:w="0" w:type="dxa"/>
            <w:left w:w="108" w:type="dxa"/>
            <w:bottom w:w="0" w:type="dxa"/>
            <w:right w:w="108" w:type="dxa"/>
          </w:tblCellMar>
        </w:tblPrEx>
        <w:tc>
          <w:tcPr>
            <w:tcW w:w="6956" w:type="dxa"/>
            <w:tcBorders>
              <w:top w:val="nil"/>
              <w:left w:val="single" w:color="auto" w:sz="2" w:space="0"/>
              <w:bottom w:val="nil"/>
              <w:right w:val="nil"/>
            </w:tcBorders>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Лицо, ответственное за учет документов строгой отчетности</w:t>
            </w:r>
          </w:p>
        </w:tc>
        <w:tc>
          <w:tcPr>
            <w:tcW w:w="3816" w:type="dxa"/>
            <w:tcBorders>
              <w:top w:val="nil"/>
              <w:left w:val="nil"/>
              <w:bottom w:val="nil"/>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______________________________</w:t>
            </w:r>
          </w:p>
        </w:tc>
      </w:tr>
      <w:tr>
        <w:tblPrEx>
          <w:tblLayout w:type="fixed"/>
          <w:tblCellMar>
            <w:top w:w="0" w:type="dxa"/>
            <w:left w:w="108" w:type="dxa"/>
            <w:bottom w:w="0" w:type="dxa"/>
            <w:right w:w="108" w:type="dxa"/>
          </w:tblCellMar>
        </w:tblPrEx>
        <w:tc>
          <w:tcPr>
            <w:tcW w:w="6956" w:type="dxa"/>
            <w:tcBorders>
              <w:top w:val="nil"/>
              <w:left w:val="single" w:color="auto" w:sz="2" w:space="0"/>
              <w:bottom w:val="nil"/>
              <w:right w:val="nil"/>
            </w:tcBorders>
          </w:tcPr>
          <w:p>
            <w:pPr>
              <w:widowControl w:val="0"/>
              <w:spacing w:after="0" w:line="240" w:lineRule="auto"/>
              <w:jc w:val="center"/>
              <w:rPr>
                <w:rFonts w:ascii="Times New Roman" w:hAnsi="Times New Roman"/>
                <w:sz w:val="24"/>
                <w:szCs w:val="24"/>
                <w:lang w:eastAsia="ru-RU"/>
              </w:rPr>
            </w:pPr>
          </w:p>
        </w:tc>
        <w:tc>
          <w:tcPr>
            <w:tcW w:w="3816" w:type="dxa"/>
            <w:tcBorders>
              <w:top w:val="nil"/>
              <w:left w:val="nil"/>
              <w:bottom w:val="nil"/>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(должность, Ф.И.О.)</w:t>
            </w:r>
          </w:p>
        </w:tc>
      </w:tr>
      <w:tr>
        <w:tblPrEx>
          <w:tblLayout w:type="fixed"/>
          <w:tblCellMar>
            <w:top w:w="0" w:type="dxa"/>
            <w:left w:w="108" w:type="dxa"/>
            <w:bottom w:w="0" w:type="dxa"/>
            <w:right w:w="108" w:type="dxa"/>
          </w:tblCellMar>
        </w:tblPrEx>
        <w:trPr>
          <w:trHeight w:val="653" w:hRule="atLeast"/>
        </w:trPr>
        <w:tc>
          <w:tcPr>
            <w:tcW w:w="10772" w:type="dxa"/>
            <w:gridSpan w:val="2"/>
            <w:tcBorders>
              <w:top w:val="nil"/>
              <w:left w:val="single" w:color="auto" w:sz="2" w:space="0"/>
              <w:bottom w:val="single" w:color="auto" w:sz="2" w:space="0"/>
              <w:right w:val="single" w:color="auto" w:sz="2" w:space="0"/>
            </w:tcBorders>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Приказ о назначении </w:t>
            </w:r>
            <w:r>
              <w:rPr>
                <w:rFonts w:ascii="Times New Roman" w:hAnsi="Times New Roman"/>
                <w:sz w:val="24"/>
                <w:szCs w:val="24"/>
                <w:lang w:val="en-US" w:eastAsia="ru-RU"/>
              </w:rPr>
              <w:t>№</w:t>
            </w:r>
            <w:r>
              <w:rPr>
                <w:rFonts w:ascii="Times New Roman" w:hAnsi="Times New Roman"/>
                <w:sz w:val="24"/>
                <w:szCs w:val="24"/>
                <w:lang w:eastAsia="ru-RU"/>
              </w:rPr>
              <w:t xml:space="preserve"> ___ от _______________ г.</w:t>
            </w:r>
          </w:p>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Договор о полной материальной ответственности </w:t>
            </w:r>
            <w:r>
              <w:rPr>
                <w:rFonts w:ascii="Times New Roman" w:hAnsi="Times New Roman"/>
                <w:sz w:val="24"/>
                <w:szCs w:val="24"/>
                <w:lang w:val="en-US" w:eastAsia="ru-RU"/>
              </w:rPr>
              <w:t>№</w:t>
            </w:r>
            <w:r>
              <w:rPr>
                <w:rFonts w:ascii="Times New Roman" w:hAnsi="Times New Roman"/>
                <w:sz w:val="24"/>
                <w:szCs w:val="24"/>
                <w:lang w:eastAsia="ru-RU"/>
              </w:rPr>
              <w:t xml:space="preserve"> ___ от _______________ г.</w:t>
            </w:r>
          </w:p>
        </w:tc>
      </w:tr>
    </w:tbl>
    <w:p>
      <w:pPr>
        <w:widowControl w:val="0"/>
        <w:spacing w:before="120" w:after="120"/>
        <w:jc w:val="both"/>
        <w:rPr>
          <w:rFonts w:ascii="Times New Roman" w:hAnsi="Times New Roman"/>
          <w:lang w:eastAsia="ru-RU"/>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widowControl w:val="0"/>
              <w:spacing w:after="0" w:line="240" w:lineRule="auto"/>
              <w:jc w:val="center"/>
              <w:rPr>
                <w:rFonts w:ascii="Times New Roman" w:hAnsi="Times New Roman"/>
                <w:sz w:val="24"/>
                <w:szCs w:val="24"/>
                <w:lang w:eastAsia="ru-RU"/>
              </w:rPr>
            </w:pPr>
            <w:r>
              <w:rPr>
                <w:rFonts w:ascii="Times New Roman" w:hAnsi="Times New Roman"/>
                <w:i/>
                <w:sz w:val="24"/>
                <w:szCs w:val="24"/>
                <w:lang w:eastAsia="ru-RU"/>
              </w:rPr>
              <w:t>Лист Книги по учету документов строгой отчетности</w:t>
            </w:r>
          </w:p>
        </w:tc>
      </w:tr>
    </w:tbl>
    <w:p>
      <w:pPr>
        <w:widowControl w:val="0"/>
        <w:spacing w:after="0" w:line="240" w:lineRule="auto"/>
        <w:ind w:firstLine="482"/>
        <w:rPr>
          <w:rFonts w:ascii="Times New Roman" w:hAnsi="Times New Roman"/>
          <w:sz w:val="24"/>
          <w:szCs w:val="24"/>
          <w:lang w:eastAsia="ru-RU"/>
        </w:rPr>
      </w:pPr>
    </w:p>
    <w:p>
      <w:pPr>
        <w:widowControl w:val="0"/>
        <w:spacing w:after="0" w:line="240" w:lineRule="auto"/>
        <w:ind w:firstLine="482"/>
        <w:rPr>
          <w:rFonts w:ascii="Times New Roman" w:hAnsi="Times New Roman"/>
          <w:sz w:val="24"/>
          <w:szCs w:val="24"/>
          <w:lang w:eastAsia="ru-RU"/>
        </w:rPr>
      </w:pPr>
      <w:r>
        <w:rPr>
          <w:rFonts w:ascii="Times New Roman" w:hAnsi="Times New Roman"/>
          <w:sz w:val="24"/>
          <w:szCs w:val="24"/>
          <w:lang w:eastAsia="ru-RU"/>
        </w:rPr>
        <w:t>Наименование формы строгой отчетности ________________________________________________</w:t>
      </w:r>
    </w:p>
    <w:p>
      <w:pPr>
        <w:widowControl w:val="0"/>
        <w:spacing w:after="0" w:line="240" w:lineRule="auto"/>
        <w:ind w:firstLine="482"/>
        <w:jc w:val="both"/>
        <w:rPr>
          <w:rFonts w:ascii="Times New Roman" w:hAnsi="Times New Roman"/>
          <w:sz w:val="24"/>
          <w:szCs w:val="24"/>
          <w:lang w:eastAsia="ru-RU"/>
        </w:rPr>
      </w:pPr>
      <w:r>
        <w:rPr>
          <w:rFonts w:ascii="Times New Roman" w:hAnsi="Times New Roman"/>
          <w:sz w:val="24"/>
          <w:szCs w:val="24"/>
          <w:lang w:eastAsia="ru-RU"/>
        </w:rPr>
        <w:t>Условная оценка 1 бланка - _______ руб. Остаток бланков на ______________ г. - ________ шт.</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426"/>
        <w:gridCol w:w="1134"/>
        <w:gridCol w:w="1559"/>
        <w:gridCol w:w="567"/>
        <w:gridCol w:w="1276"/>
        <w:gridCol w:w="708"/>
        <w:gridCol w:w="567"/>
        <w:gridCol w:w="1418"/>
        <w:gridCol w:w="567"/>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gridSpan w:val="3"/>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Дата</w:t>
            </w:r>
          </w:p>
        </w:tc>
        <w:tc>
          <w:tcPr>
            <w:tcW w:w="1134" w:type="dxa"/>
            <w:vMerge w:val="restart"/>
            <w:tcBorders>
              <w:top w:val="single" w:color="auto" w:sz="6" w:space="0"/>
              <w:left w:val="single" w:color="auto" w:sz="6" w:space="0"/>
              <w:bottom w:val="nil"/>
              <w:right w:val="single" w:color="auto" w:sz="6" w:space="0"/>
            </w:tcBorders>
          </w:tcPr>
          <w:p>
            <w:pPr>
              <w:pStyle w:val="45"/>
              <w:autoSpaceDE/>
              <w:ind w:left="-57" w:right="-57"/>
              <w:jc w:val="center"/>
              <w:rPr>
                <w:spacing w:val="-6"/>
              </w:rPr>
            </w:pPr>
            <w:r>
              <w:rPr>
                <w:spacing w:val="-6"/>
              </w:rPr>
              <w:t>От кого получено или кому отпущено</w:t>
            </w:r>
          </w:p>
        </w:tc>
        <w:tc>
          <w:tcPr>
            <w:tcW w:w="1559" w:type="dxa"/>
            <w:vMerge w:val="restart"/>
            <w:tcBorders>
              <w:top w:val="single" w:color="auto" w:sz="6" w:space="0"/>
              <w:left w:val="single" w:color="auto" w:sz="6" w:space="0"/>
              <w:bottom w:val="nil"/>
              <w:right w:val="single" w:color="auto" w:sz="6" w:space="0"/>
            </w:tcBorders>
          </w:tcPr>
          <w:p>
            <w:pPr>
              <w:pStyle w:val="45"/>
              <w:autoSpaceDE/>
              <w:ind w:left="-57" w:right="-57"/>
              <w:jc w:val="center"/>
              <w:rPr>
                <w:spacing w:val="-6"/>
              </w:rPr>
            </w:pPr>
            <w:r>
              <w:rPr>
                <w:spacing w:val="-6"/>
              </w:rPr>
              <w:t>Основание (наименование документа, номер и дата)</w:t>
            </w:r>
          </w:p>
        </w:tc>
        <w:tc>
          <w:tcPr>
            <w:tcW w:w="2551" w:type="dxa"/>
            <w:gridSpan w:val="3"/>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Приход</w:t>
            </w:r>
          </w:p>
        </w:tc>
        <w:tc>
          <w:tcPr>
            <w:tcW w:w="2552" w:type="dxa"/>
            <w:gridSpan w:val="3"/>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Расход</w:t>
            </w:r>
          </w:p>
        </w:tc>
        <w:tc>
          <w:tcPr>
            <w:tcW w:w="1417" w:type="dxa"/>
            <w:gridSpan w:val="2"/>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Остаток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число</w:t>
            </w:r>
          </w:p>
        </w:tc>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месяц</w:t>
            </w:r>
          </w:p>
        </w:tc>
        <w:tc>
          <w:tcPr>
            <w:tcW w:w="426"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год</w:t>
            </w:r>
          </w:p>
        </w:tc>
        <w:tc>
          <w:tcPr>
            <w:tcW w:w="1134" w:type="dxa"/>
            <w:vMerge w:val="continue"/>
            <w:tcBorders>
              <w:top w:val="nil"/>
              <w:left w:val="single" w:color="auto" w:sz="6" w:space="0"/>
              <w:bottom w:val="nil"/>
              <w:right w:val="single" w:color="auto" w:sz="6" w:space="0"/>
            </w:tcBorders>
          </w:tcPr>
          <w:p>
            <w:pPr>
              <w:pStyle w:val="44"/>
              <w:ind w:left="-57" w:right="-57"/>
              <w:jc w:val="left"/>
              <w:rPr>
                <w:rFonts w:ascii="Times New Roman" w:hAnsi="Times New Roman" w:cs="Times New Roman"/>
                <w:spacing w:val="-6"/>
                <w:sz w:val="24"/>
                <w:szCs w:val="24"/>
              </w:rPr>
            </w:pPr>
          </w:p>
        </w:tc>
        <w:tc>
          <w:tcPr>
            <w:tcW w:w="1559" w:type="dxa"/>
            <w:vMerge w:val="continue"/>
            <w:tcBorders>
              <w:top w:val="nil"/>
              <w:left w:val="single" w:color="auto" w:sz="6" w:space="0"/>
              <w:bottom w:val="nil"/>
              <w:right w:val="single" w:color="auto" w:sz="6" w:space="0"/>
            </w:tcBorders>
          </w:tcPr>
          <w:p>
            <w:pPr>
              <w:pStyle w:val="44"/>
              <w:ind w:left="-57" w:right="-57"/>
              <w:jc w:val="left"/>
              <w:rPr>
                <w:rFonts w:ascii="Times New Roman" w:hAnsi="Times New Roman" w:cs="Times New Roman"/>
                <w:spacing w:val="-6"/>
                <w:sz w:val="24"/>
                <w:szCs w:val="24"/>
              </w:rPr>
            </w:pPr>
          </w:p>
        </w:tc>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кол-во, шт.</w:t>
            </w:r>
          </w:p>
        </w:tc>
        <w:tc>
          <w:tcPr>
            <w:tcW w:w="1276"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серия и номер бланка (вкладыша)</w:t>
            </w:r>
          </w:p>
        </w:tc>
        <w:tc>
          <w:tcPr>
            <w:tcW w:w="70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сумма, руб.</w:t>
            </w:r>
          </w:p>
        </w:tc>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кол-во, шт.</w:t>
            </w: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серия и номер бланка (вкладыша)</w:t>
            </w:r>
          </w:p>
        </w:tc>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сумма, руб.</w:t>
            </w:r>
          </w:p>
        </w:tc>
        <w:tc>
          <w:tcPr>
            <w:tcW w:w="85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кол-во, шт.</w:t>
            </w:r>
          </w:p>
        </w:tc>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6"/>
              </w:rPr>
            </w:pPr>
            <w:r>
              <w:rPr>
                <w:spacing w:val="-6"/>
              </w:rPr>
              <w:t>сумма,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1</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2</w:t>
            </w:r>
          </w:p>
        </w:tc>
        <w:tc>
          <w:tcPr>
            <w:tcW w:w="426"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3</w:t>
            </w:r>
          </w:p>
        </w:tc>
        <w:tc>
          <w:tcPr>
            <w:tcW w:w="1134"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4</w:t>
            </w:r>
          </w:p>
        </w:tc>
        <w:tc>
          <w:tcPr>
            <w:tcW w:w="1559"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5</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6</w:t>
            </w:r>
          </w:p>
        </w:tc>
        <w:tc>
          <w:tcPr>
            <w:tcW w:w="1276"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7</w:t>
            </w:r>
          </w:p>
        </w:tc>
        <w:tc>
          <w:tcPr>
            <w:tcW w:w="708"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8</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9</w:t>
            </w: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10</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11</w:t>
            </w:r>
          </w:p>
        </w:tc>
        <w:tc>
          <w:tcPr>
            <w:tcW w:w="850"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12</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426"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134"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r>
              <w:rPr>
                <w:spacing w:val="-6"/>
              </w:rPr>
              <w:t>Итого</w:t>
            </w:r>
          </w:p>
        </w:tc>
        <w:tc>
          <w:tcPr>
            <w:tcW w:w="1559"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X</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X</w:t>
            </w:r>
          </w:p>
        </w:tc>
        <w:tc>
          <w:tcPr>
            <w:tcW w:w="708"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X</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left"/>
              <w:rPr>
                <w:spacing w:val="-6"/>
              </w:rPr>
            </w:pPr>
          </w:p>
        </w:tc>
        <w:tc>
          <w:tcPr>
            <w:tcW w:w="850"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X</w:t>
            </w:r>
          </w:p>
        </w:tc>
        <w:tc>
          <w:tcPr>
            <w:tcW w:w="567" w:type="dxa"/>
            <w:tcBorders>
              <w:top w:val="single" w:color="auto" w:sz="6" w:space="0"/>
              <w:left w:val="single" w:color="auto" w:sz="6" w:space="0"/>
              <w:bottom w:val="single" w:color="auto" w:sz="6" w:space="0"/>
              <w:right w:val="single" w:color="auto" w:sz="6" w:space="0"/>
            </w:tcBorders>
          </w:tcPr>
          <w:p>
            <w:pPr>
              <w:pStyle w:val="45"/>
              <w:autoSpaceDE/>
              <w:jc w:val="center"/>
              <w:rPr>
                <w:spacing w:val="-6"/>
              </w:rPr>
            </w:pPr>
            <w:r>
              <w:rPr>
                <w:spacing w:val="-6"/>
              </w:rPr>
              <w:t>X</w:t>
            </w:r>
          </w:p>
        </w:tc>
      </w:tr>
    </w:tbl>
    <w:p>
      <w:pPr>
        <w:pStyle w:val="44"/>
        <w:rPr>
          <w:rFonts w:ascii="Times New Roman" w:hAnsi="Times New Roman" w:cs="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3764"/>
        <w:gridCol w:w="2316"/>
        <w:gridCol w:w="1956"/>
        <w:gridCol w:w="2736"/>
      </w:tblGrid>
      <w:tr>
        <w:tblPrEx>
          <w:tblLayout w:type="fixed"/>
          <w:tblCellMar>
            <w:top w:w="0" w:type="dxa"/>
            <w:left w:w="108" w:type="dxa"/>
            <w:bottom w:w="0" w:type="dxa"/>
            <w:right w:w="108" w:type="dxa"/>
          </w:tblCellMar>
        </w:tblPrEx>
        <w:tc>
          <w:tcPr>
            <w:tcW w:w="10772" w:type="dxa"/>
            <w:gridSpan w:val="4"/>
            <w:tcBorders>
              <w:top w:val="nil"/>
              <w:left w:val="nil"/>
              <w:bottom w:val="single" w:color="auto" w:sz="2" w:space="0"/>
              <w:right w:val="nil"/>
            </w:tcBorders>
          </w:tcPr>
          <w:p>
            <w:pPr>
              <w:widowControl w:val="0"/>
              <w:spacing w:after="0" w:line="240" w:lineRule="auto"/>
              <w:jc w:val="center"/>
              <w:rPr>
                <w:rFonts w:ascii="Times New Roman" w:hAnsi="Times New Roman"/>
                <w:sz w:val="24"/>
                <w:szCs w:val="24"/>
                <w:lang w:eastAsia="ru-RU"/>
              </w:rPr>
            </w:pPr>
            <w:r>
              <w:rPr>
                <w:rFonts w:ascii="Times New Roman" w:hAnsi="Times New Roman"/>
                <w:i/>
                <w:sz w:val="24"/>
                <w:szCs w:val="24"/>
                <w:lang w:eastAsia="ru-RU"/>
              </w:rPr>
              <w:t>Последняя страница</w:t>
            </w:r>
          </w:p>
        </w:tc>
      </w:tr>
      <w:tr>
        <w:tblPrEx>
          <w:tblLayout w:type="fixed"/>
          <w:tblCellMar>
            <w:top w:w="0" w:type="dxa"/>
            <w:left w:w="108" w:type="dxa"/>
            <w:bottom w:w="0" w:type="dxa"/>
            <w:right w:w="108" w:type="dxa"/>
          </w:tblCellMar>
        </w:tblPrEx>
        <w:tc>
          <w:tcPr>
            <w:tcW w:w="10772" w:type="dxa"/>
            <w:gridSpan w:val="4"/>
            <w:tcBorders>
              <w:top w:val="single" w:color="auto" w:sz="2" w:space="0"/>
              <w:left w:val="single" w:color="auto" w:sz="2" w:space="0"/>
              <w:bottom w:val="nil"/>
              <w:right w:val="single" w:color="auto" w:sz="2" w:space="0"/>
            </w:tcBorders>
          </w:tcPr>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этой книге пронумеровано и</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прошнуровано __________ листов.</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tc>
      </w:tr>
      <w:tr>
        <w:tblPrEx>
          <w:tblLayout w:type="fixed"/>
          <w:tblCellMar>
            <w:top w:w="0" w:type="dxa"/>
            <w:left w:w="108" w:type="dxa"/>
            <w:bottom w:w="0" w:type="dxa"/>
            <w:right w:w="108" w:type="dxa"/>
          </w:tblCellMar>
        </w:tblPrEx>
        <w:tc>
          <w:tcPr>
            <w:tcW w:w="3764" w:type="dxa"/>
            <w:tcBorders>
              <w:top w:val="nil"/>
              <w:left w:val="single" w:color="auto" w:sz="2" w:space="0"/>
              <w:bottom w:val="nil"/>
              <w:right w:val="nil"/>
            </w:tcBorders>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 организации</w:t>
            </w:r>
          </w:p>
        </w:tc>
        <w:tc>
          <w:tcPr>
            <w:tcW w:w="2316"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_________________</w:t>
            </w:r>
          </w:p>
        </w:tc>
        <w:tc>
          <w:tcPr>
            <w:tcW w:w="1956"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______________</w:t>
            </w:r>
          </w:p>
        </w:tc>
        <w:tc>
          <w:tcPr>
            <w:tcW w:w="2736" w:type="dxa"/>
            <w:tcBorders>
              <w:top w:val="nil"/>
              <w:left w:val="nil"/>
              <w:bottom w:val="nil"/>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w:t>
            </w:r>
          </w:p>
        </w:tc>
      </w:tr>
      <w:tr>
        <w:tblPrEx>
          <w:tblLayout w:type="fixed"/>
          <w:tblCellMar>
            <w:top w:w="0" w:type="dxa"/>
            <w:left w:w="108" w:type="dxa"/>
            <w:bottom w:w="0" w:type="dxa"/>
            <w:right w:w="108" w:type="dxa"/>
          </w:tblCellMar>
        </w:tblPrEx>
        <w:tc>
          <w:tcPr>
            <w:tcW w:w="3764" w:type="dxa"/>
            <w:tcBorders>
              <w:top w:val="nil"/>
              <w:left w:val="single" w:color="auto" w:sz="2" w:space="0"/>
              <w:bottom w:val="nil"/>
              <w:right w:val="nil"/>
            </w:tcBorders>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w:t>
            </w:r>
          </w:p>
        </w:tc>
        <w:tc>
          <w:tcPr>
            <w:tcW w:w="2316"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(должность, Ф.И.О.)</w:t>
            </w:r>
          </w:p>
        </w:tc>
        <w:tc>
          <w:tcPr>
            <w:tcW w:w="1956"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(подпись)</w:t>
            </w:r>
          </w:p>
        </w:tc>
        <w:tc>
          <w:tcPr>
            <w:tcW w:w="2736" w:type="dxa"/>
            <w:tcBorders>
              <w:top w:val="nil"/>
              <w:left w:val="nil"/>
              <w:bottom w:val="nil"/>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vertAlign w:val="superscript"/>
                <w:lang w:eastAsia="ru-RU"/>
              </w:rPr>
              <w:t>(расшифровка подписи)</w:t>
            </w:r>
          </w:p>
        </w:tc>
      </w:tr>
      <w:tr>
        <w:tblPrEx>
          <w:tblLayout w:type="fixed"/>
          <w:tblCellMar>
            <w:top w:w="0" w:type="dxa"/>
            <w:left w:w="108" w:type="dxa"/>
            <w:bottom w:w="0" w:type="dxa"/>
            <w:right w:w="108" w:type="dxa"/>
          </w:tblCellMar>
        </w:tblPrEx>
        <w:trPr>
          <w:trHeight w:val="701" w:hRule="atLeast"/>
        </w:trPr>
        <w:tc>
          <w:tcPr>
            <w:tcW w:w="10772" w:type="dxa"/>
            <w:gridSpan w:val="4"/>
            <w:tcBorders>
              <w:top w:val="nil"/>
              <w:left w:val="single" w:color="auto" w:sz="2" w:space="0"/>
              <w:bottom w:val="single" w:color="auto" w:sz="2" w:space="0"/>
              <w:right w:val="single" w:color="auto" w:sz="2" w:space="0"/>
            </w:tcBorders>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Приказ о назначении </w:t>
            </w:r>
            <w:r>
              <w:rPr>
                <w:rFonts w:ascii="Times New Roman" w:hAnsi="Times New Roman"/>
                <w:sz w:val="24"/>
                <w:szCs w:val="24"/>
                <w:lang w:val="en-US" w:eastAsia="ru-RU"/>
              </w:rPr>
              <w:t>№</w:t>
            </w:r>
            <w:r>
              <w:rPr>
                <w:rFonts w:ascii="Times New Roman" w:hAnsi="Times New Roman"/>
                <w:sz w:val="24"/>
                <w:szCs w:val="24"/>
                <w:lang w:eastAsia="ru-RU"/>
              </w:rPr>
              <w:t xml:space="preserve"> ________ от ______________________ г. </w:t>
            </w:r>
          </w:p>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Договор о полной материальной ответственности </w:t>
            </w:r>
            <w:r>
              <w:rPr>
                <w:rFonts w:ascii="Times New Roman" w:hAnsi="Times New Roman"/>
                <w:sz w:val="24"/>
                <w:szCs w:val="24"/>
                <w:lang w:val="en-US" w:eastAsia="ru-RU"/>
              </w:rPr>
              <w:t>№</w:t>
            </w:r>
            <w:r>
              <w:rPr>
                <w:rFonts w:ascii="Times New Roman" w:hAnsi="Times New Roman"/>
                <w:sz w:val="24"/>
                <w:szCs w:val="24"/>
                <w:lang w:eastAsia="ru-RU"/>
              </w:rPr>
              <w:t xml:space="preserve"> ___ от _______________ г.</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1.3.5. Приказ о создании комиссии</w:t>
      </w:r>
    </w:p>
    <w:p>
      <w:pPr>
        <w:pStyle w:val="44"/>
        <w:jc w:val="center"/>
        <w:rPr>
          <w:rFonts w:ascii="Times New Roman" w:hAnsi="Times New Roman" w:cs="Times New Roman"/>
          <w:sz w:val="24"/>
          <w:szCs w:val="24"/>
        </w:rPr>
      </w:pPr>
      <w:r>
        <w:rPr>
          <w:rFonts w:ascii="Times New Roman" w:hAnsi="Times New Roman" w:cs="Times New Roman"/>
          <w:b/>
          <w:bCs/>
          <w:sz w:val="24"/>
          <w:szCs w:val="24"/>
        </w:rPr>
        <w:t>по консервации основных средств</w:t>
      </w:r>
    </w:p>
    <w:p>
      <w:pPr>
        <w:widowControl w:val="0"/>
        <w:autoSpaceDE w:val="0"/>
        <w:autoSpaceDN w:val="0"/>
        <w:adjustRightInd w:val="0"/>
        <w:spacing w:after="0" w:line="240" w:lineRule="auto"/>
        <w:rPr>
          <w:rFonts w:ascii="Times New Roman" w:hAnsi="Times New Roman"/>
          <w:bCs/>
          <w:sz w:val="24"/>
          <w:szCs w:val="24"/>
        </w:rPr>
      </w:pPr>
    </w:p>
    <w:tbl>
      <w:tblPr>
        <w:tblStyle w:val="29"/>
        <w:tblW w:w="3795" w:type="dxa"/>
        <w:tblInd w:w="0" w:type="dxa"/>
        <w:tblLayout w:type="fixed"/>
        <w:tblCellMar>
          <w:top w:w="0" w:type="dxa"/>
          <w:left w:w="108" w:type="dxa"/>
          <w:bottom w:w="0" w:type="dxa"/>
          <w:right w:w="108" w:type="dxa"/>
        </w:tblCellMar>
      </w:tblPr>
      <w:tblGrid>
        <w:gridCol w:w="3795"/>
      </w:tblGrid>
      <w:tr>
        <w:tblPrEx>
          <w:tblLayout w:type="fixed"/>
          <w:tblCellMar>
            <w:top w:w="0" w:type="dxa"/>
            <w:left w:w="108" w:type="dxa"/>
            <w:bottom w:w="0" w:type="dxa"/>
            <w:right w:w="108" w:type="dxa"/>
          </w:tblCellMar>
        </w:tblPrEx>
        <w:tc>
          <w:tcPr>
            <w:tcW w:w="3795" w:type="dxa"/>
            <w:tcBorders>
              <w:top w:val="nil"/>
              <w:left w:val="nil"/>
              <w:bottom w:val="single" w:color="auto" w:sz="2" w:space="0"/>
              <w:right w:val="nil"/>
            </w:tcBorders>
          </w:tcPr>
          <w:p>
            <w:pPr>
              <w:widowControl w:val="0"/>
              <w:spacing w:after="0" w:line="240" w:lineRule="auto"/>
              <w:jc w:val="center"/>
              <w:rPr>
                <w:rFonts w:ascii="Times New Roman" w:hAnsi="Times New Roman"/>
                <w:sz w:val="24"/>
                <w:szCs w:val="24"/>
                <w:lang w:eastAsia="ru-RU"/>
              </w:rPr>
            </w:pPr>
          </w:p>
        </w:tc>
      </w:tr>
      <w:tr>
        <w:tblPrEx>
          <w:tblLayout w:type="fixed"/>
          <w:tblCellMar>
            <w:top w:w="0" w:type="dxa"/>
            <w:left w:w="108" w:type="dxa"/>
            <w:bottom w:w="0" w:type="dxa"/>
            <w:right w:w="108" w:type="dxa"/>
          </w:tblCellMar>
        </w:tblPrEx>
        <w:tc>
          <w:tcPr>
            <w:tcW w:w="3795" w:type="dxa"/>
            <w:tcBorders>
              <w:top w:val="single" w:color="auto" w:sz="2" w:space="0"/>
              <w:left w:val="nil"/>
              <w:bottom w:val="nil"/>
              <w:right w:val="nil"/>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организации)</w:t>
            </w:r>
          </w:p>
        </w:tc>
      </w:tr>
    </w:tbl>
    <w:p>
      <w:pPr>
        <w:pStyle w:val="42"/>
        <w:jc w:val="both"/>
        <w:rPr>
          <w:rFonts w:ascii="Times New Roman" w:hAnsi="Times New Roman" w:cs="Times New Roman"/>
          <w:szCs w:val="24"/>
        </w:rPr>
      </w:pPr>
    </w:p>
    <w:tbl>
      <w:tblPr>
        <w:tblStyle w:val="30"/>
        <w:tblW w:w="10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2"/>
        <w:gridCol w:w="141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2" w:type="dxa"/>
            <w:tcBorders>
              <w:top w:val="nil"/>
              <w:left w:val="nil"/>
              <w:bottom w:val="nil"/>
            </w:tcBorders>
          </w:tcPr>
          <w:p>
            <w:pPr>
              <w:pStyle w:val="42"/>
              <w:jc w:val="both"/>
              <w:rPr>
                <w:rFonts w:ascii="Times New Roman" w:hAnsi="Times New Roman" w:cs="Times New Roman"/>
                <w:sz w:val="24"/>
                <w:szCs w:val="24"/>
              </w:rPr>
            </w:pPr>
          </w:p>
        </w:tc>
        <w:tc>
          <w:tcPr>
            <w:tcW w:w="1415" w:type="dxa"/>
          </w:tcPr>
          <w:p>
            <w:pPr>
              <w:pStyle w:val="42"/>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ype="textWrapping"/>
            </w:r>
            <w:r>
              <w:rPr>
                <w:rFonts w:ascii="Times New Roman" w:hAnsi="Times New Roman" w:cs="Times New Roman"/>
                <w:sz w:val="24"/>
                <w:szCs w:val="24"/>
              </w:rPr>
              <w:t>документа</w:t>
            </w:r>
          </w:p>
        </w:tc>
        <w:tc>
          <w:tcPr>
            <w:tcW w:w="1522" w:type="dxa"/>
          </w:tcPr>
          <w:p>
            <w:pPr>
              <w:pStyle w:val="42"/>
              <w:jc w:val="cente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br w:type="textWrapping"/>
            </w:r>
            <w:r>
              <w:rPr>
                <w:rFonts w:ascii="Times New Roman" w:hAnsi="Times New Roman" w:cs="Times New Roman"/>
                <w:sz w:val="24"/>
                <w:szCs w:val="24"/>
              </w:rPr>
              <w:t>составления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2" w:type="dxa"/>
            <w:tcBorders>
              <w:top w:val="nil"/>
              <w:left w:val="nil"/>
              <w:bottom w:val="nil"/>
            </w:tcBorders>
          </w:tcPr>
          <w:p>
            <w:pPr>
              <w:pStyle w:val="42"/>
              <w:jc w:val="both"/>
              <w:rPr>
                <w:rFonts w:ascii="Times New Roman" w:hAnsi="Times New Roman" w:cs="Times New Roman"/>
                <w:sz w:val="24"/>
                <w:szCs w:val="24"/>
              </w:rPr>
            </w:pPr>
          </w:p>
        </w:tc>
        <w:tc>
          <w:tcPr>
            <w:tcW w:w="1415" w:type="dxa"/>
          </w:tcPr>
          <w:p>
            <w:pPr>
              <w:pStyle w:val="42"/>
              <w:jc w:val="both"/>
              <w:rPr>
                <w:rFonts w:ascii="Times New Roman" w:hAnsi="Times New Roman" w:cs="Times New Roman"/>
                <w:sz w:val="24"/>
                <w:szCs w:val="24"/>
              </w:rPr>
            </w:pPr>
          </w:p>
        </w:tc>
        <w:tc>
          <w:tcPr>
            <w:tcW w:w="1522" w:type="dxa"/>
          </w:tcPr>
          <w:p>
            <w:pPr>
              <w:pStyle w:val="42"/>
              <w:jc w:val="both"/>
              <w:rPr>
                <w:rFonts w:ascii="Times New Roman" w:hAnsi="Times New Roman" w:cs="Times New Roman"/>
                <w:sz w:val="24"/>
                <w:szCs w:val="24"/>
              </w:rPr>
            </w:pPr>
          </w:p>
        </w:tc>
      </w:tr>
    </w:tbl>
    <w:p>
      <w:pPr>
        <w:pStyle w:val="42"/>
        <w:jc w:val="both"/>
        <w:rPr>
          <w:rFonts w:ascii="Times New Roman" w:hAnsi="Times New Roman" w:cs="Times New Roman"/>
          <w:sz w:val="24"/>
          <w:szCs w:val="24"/>
        </w:rPr>
      </w:pPr>
    </w:p>
    <w:p>
      <w:pPr>
        <w:pStyle w:val="42"/>
        <w:jc w:val="center"/>
        <w:rPr>
          <w:rFonts w:ascii="Times New Roman" w:hAnsi="Times New Roman" w:cs="Times New Roman"/>
          <w:sz w:val="24"/>
          <w:szCs w:val="24"/>
        </w:rPr>
      </w:pPr>
      <w:r>
        <w:rPr>
          <w:rFonts w:ascii="Times New Roman" w:hAnsi="Times New Roman" w:cs="Times New Roman"/>
          <w:sz w:val="24"/>
          <w:szCs w:val="24"/>
        </w:rPr>
        <w:t>ПРИКАЗ</w:t>
      </w:r>
    </w:p>
    <w:p>
      <w:pPr>
        <w:pStyle w:val="42"/>
        <w:jc w:val="center"/>
        <w:rPr>
          <w:rFonts w:ascii="Times New Roman" w:hAnsi="Times New Roman" w:cs="Times New Roman"/>
          <w:sz w:val="24"/>
          <w:szCs w:val="24"/>
        </w:rPr>
      </w:pPr>
      <w:r>
        <w:rPr>
          <w:rFonts w:ascii="Times New Roman" w:hAnsi="Times New Roman" w:cs="Times New Roman"/>
          <w:sz w:val="24"/>
          <w:szCs w:val="24"/>
        </w:rPr>
        <w:t>о создании комиссии по консервации основных средств</w:t>
      </w:r>
    </w:p>
    <w:p>
      <w:pPr>
        <w:pStyle w:val="42"/>
        <w:jc w:val="both"/>
        <w:rPr>
          <w:rFonts w:ascii="Times New Roman" w:hAnsi="Times New Roman" w:cs="Times New Roman"/>
          <w:sz w:val="24"/>
          <w:szCs w:val="24"/>
        </w:rPr>
      </w:pPr>
    </w:p>
    <w:p>
      <w:pPr>
        <w:pStyle w:val="42"/>
        <w:jc w:val="both"/>
        <w:rPr>
          <w:rFonts w:ascii="Times New Roman" w:hAnsi="Times New Roman" w:cs="Times New Roman"/>
          <w:sz w:val="24"/>
          <w:szCs w:val="24"/>
        </w:rPr>
      </w:pPr>
      <w:r>
        <w:rPr>
          <w:rFonts w:ascii="Times New Roman" w:hAnsi="Times New Roman" w:cs="Times New Roman"/>
          <w:sz w:val="24"/>
          <w:szCs w:val="24"/>
        </w:rPr>
        <w:t>ПРИКАЗЫВАЮ:</w:t>
      </w:r>
    </w:p>
    <w:p>
      <w:pPr>
        <w:pStyle w:val="42"/>
        <w:jc w:val="both"/>
        <w:rPr>
          <w:rFonts w:ascii="Times New Roman" w:hAnsi="Times New Roman" w:cs="Times New Roman"/>
          <w:sz w:val="24"/>
          <w:szCs w:val="24"/>
        </w:rPr>
      </w:pPr>
      <w:r>
        <w:rPr>
          <w:rFonts w:ascii="Times New Roman" w:hAnsi="Times New Roman" w:cs="Times New Roman"/>
          <w:sz w:val="24"/>
          <w:szCs w:val="24"/>
        </w:rPr>
        <w:t>1. Создать комиссию по консервации основных средств в следующем составе:</w:t>
      </w:r>
    </w:p>
    <w:p>
      <w:pPr>
        <w:pStyle w:val="42"/>
        <w:jc w:val="both"/>
        <w:rPr>
          <w:rFonts w:ascii="Times New Roman" w:hAnsi="Times New Roman" w:cs="Times New Roman"/>
          <w:sz w:val="24"/>
          <w:szCs w:val="24"/>
        </w:rPr>
      </w:pPr>
    </w:p>
    <w:tbl>
      <w:tblPr>
        <w:tblStyle w:val="30"/>
        <w:tblW w:w="10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9"/>
        <w:gridCol w:w="829"/>
        <w:gridCol w:w="7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908" w:type="dxa"/>
            <w:gridSpan w:val="2"/>
          </w:tcPr>
          <w:p>
            <w:pPr>
              <w:pStyle w:val="42"/>
              <w:jc w:val="both"/>
              <w:rPr>
                <w:rFonts w:ascii="Times New Roman" w:hAnsi="Times New Roman" w:cs="Times New Roman"/>
                <w:sz w:val="24"/>
                <w:szCs w:val="24"/>
              </w:rPr>
            </w:pPr>
            <w:r>
              <w:rPr>
                <w:rFonts w:ascii="Times New Roman" w:hAnsi="Times New Roman" w:cs="Times New Roman"/>
                <w:sz w:val="24"/>
                <w:szCs w:val="24"/>
              </w:rPr>
              <w:t>Председатель комиссии -</w:t>
            </w:r>
          </w:p>
        </w:tc>
        <w:tc>
          <w:tcPr>
            <w:tcW w:w="7864" w:type="dxa"/>
            <w:tcBorders>
              <w:bottom w:val="single" w:color="auto" w:sz="4" w:space="0"/>
            </w:tcBorders>
          </w:tcPr>
          <w:p>
            <w:pPr>
              <w:pStyle w:val="42"/>
              <w:jc w:val="both"/>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08" w:type="dxa"/>
            <w:gridSpan w:val="2"/>
          </w:tcPr>
          <w:p>
            <w:pPr>
              <w:pStyle w:val="42"/>
              <w:jc w:val="both"/>
              <w:rPr>
                <w:rFonts w:ascii="Times New Roman" w:hAnsi="Times New Roman" w:cs="Times New Roman"/>
                <w:sz w:val="24"/>
                <w:szCs w:val="24"/>
              </w:rPr>
            </w:pPr>
          </w:p>
        </w:tc>
        <w:tc>
          <w:tcPr>
            <w:tcW w:w="7864" w:type="dxa"/>
            <w:tcBorders>
              <w:top w:val="single" w:color="auto" w:sz="4" w:space="0"/>
            </w:tcBorders>
          </w:tcPr>
          <w:p>
            <w:pPr>
              <w:pStyle w:val="42"/>
              <w:jc w:val="center"/>
              <w:rPr>
                <w:rFonts w:ascii="Times New Roman" w:hAnsi="Times New Roman" w:cs="Times New Roman"/>
                <w:sz w:val="24"/>
                <w:szCs w:val="24"/>
              </w:rPr>
            </w:pPr>
            <w:r>
              <w:rPr>
                <w:rFonts w:ascii="Times New Roman" w:hAnsi="Times New Roman" w:cs="Times New Roman"/>
                <w:szCs w:val="24"/>
              </w:rPr>
              <w:t>(Ф.И.О., должность)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9" w:type="dxa"/>
          </w:tcPr>
          <w:p>
            <w:pPr>
              <w:pStyle w:val="42"/>
              <w:jc w:val="both"/>
              <w:rPr>
                <w:rFonts w:ascii="Times New Roman" w:hAnsi="Times New Roman" w:cs="Times New Roman"/>
                <w:sz w:val="24"/>
                <w:szCs w:val="24"/>
              </w:rPr>
            </w:pPr>
            <w:r>
              <w:rPr>
                <w:rFonts w:ascii="Times New Roman" w:hAnsi="Times New Roman" w:cs="Times New Roman"/>
                <w:sz w:val="24"/>
                <w:szCs w:val="24"/>
              </w:rPr>
              <w:t>Члены комиссии:</w:t>
            </w:r>
          </w:p>
        </w:tc>
        <w:tc>
          <w:tcPr>
            <w:tcW w:w="8693" w:type="dxa"/>
            <w:gridSpan w:val="2"/>
            <w:tcBorders>
              <w:bottom w:val="single" w:color="auto" w:sz="4" w:space="0"/>
            </w:tcBorders>
          </w:tcPr>
          <w:p>
            <w:pPr>
              <w:pStyle w:val="42"/>
              <w:jc w:val="both"/>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9" w:type="dxa"/>
          </w:tcPr>
          <w:p>
            <w:pPr>
              <w:pStyle w:val="42"/>
              <w:jc w:val="both"/>
              <w:rPr>
                <w:rFonts w:ascii="Times New Roman" w:hAnsi="Times New Roman" w:cs="Times New Roman"/>
                <w:sz w:val="24"/>
                <w:szCs w:val="24"/>
              </w:rPr>
            </w:pPr>
          </w:p>
        </w:tc>
        <w:tc>
          <w:tcPr>
            <w:tcW w:w="8693" w:type="dxa"/>
            <w:gridSpan w:val="2"/>
            <w:tcBorders>
              <w:top w:val="single" w:color="auto" w:sz="4" w:space="0"/>
            </w:tcBorders>
          </w:tcPr>
          <w:p>
            <w:pPr>
              <w:pStyle w:val="42"/>
              <w:jc w:val="center"/>
              <w:rPr>
                <w:rFonts w:ascii="Times New Roman" w:hAnsi="Times New Roman" w:cs="Times New Roman"/>
                <w:sz w:val="24"/>
                <w:szCs w:val="24"/>
              </w:rPr>
            </w:pPr>
            <w:r>
              <w:rPr>
                <w:rFonts w:ascii="Times New Roman" w:hAnsi="Times New Roman" w:cs="Times New Roman"/>
                <w:szCs w:val="24"/>
              </w:rPr>
              <w:t>(Ф.И.О., должность)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9" w:type="dxa"/>
          </w:tcPr>
          <w:p>
            <w:pPr>
              <w:pStyle w:val="42"/>
              <w:jc w:val="both"/>
              <w:rPr>
                <w:rFonts w:ascii="Times New Roman" w:hAnsi="Times New Roman" w:cs="Times New Roman"/>
                <w:sz w:val="24"/>
                <w:szCs w:val="24"/>
              </w:rPr>
            </w:pPr>
          </w:p>
        </w:tc>
        <w:tc>
          <w:tcPr>
            <w:tcW w:w="8693" w:type="dxa"/>
            <w:gridSpan w:val="2"/>
            <w:tcBorders>
              <w:bottom w:val="single" w:color="auto" w:sz="4" w:space="0"/>
            </w:tcBorders>
          </w:tcPr>
          <w:p>
            <w:pPr>
              <w:pStyle w:val="42"/>
              <w:jc w:val="both"/>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9" w:type="dxa"/>
          </w:tcPr>
          <w:p>
            <w:pPr>
              <w:pStyle w:val="42"/>
              <w:jc w:val="both"/>
              <w:rPr>
                <w:rFonts w:ascii="Times New Roman" w:hAnsi="Times New Roman" w:cs="Times New Roman"/>
                <w:sz w:val="24"/>
                <w:szCs w:val="24"/>
              </w:rPr>
            </w:pPr>
          </w:p>
        </w:tc>
        <w:tc>
          <w:tcPr>
            <w:tcW w:w="8693" w:type="dxa"/>
            <w:gridSpan w:val="2"/>
            <w:tcBorders>
              <w:top w:val="single" w:color="auto" w:sz="4" w:space="0"/>
            </w:tcBorders>
          </w:tcPr>
          <w:p>
            <w:pPr>
              <w:pStyle w:val="42"/>
              <w:jc w:val="center"/>
              <w:rPr>
                <w:rFonts w:ascii="Times New Roman" w:hAnsi="Times New Roman" w:cs="Times New Roman"/>
                <w:sz w:val="24"/>
                <w:szCs w:val="24"/>
              </w:rPr>
            </w:pPr>
            <w:r>
              <w:rPr>
                <w:rFonts w:ascii="Times New Roman" w:hAnsi="Times New Roman" w:cs="Times New Roman"/>
                <w:szCs w:val="24"/>
              </w:rPr>
              <w:t>(Ф.И.О., должность)</w:t>
            </w:r>
          </w:p>
        </w:tc>
      </w:tr>
    </w:tbl>
    <w:p>
      <w:pPr>
        <w:pStyle w:val="42"/>
        <w:jc w:val="both"/>
        <w:rPr>
          <w:rFonts w:ascii="Times New Roman" w:hAnsi="Times New Roman" w:cs="Times New Roman"/>
          <w:sz w:val="24"/>
          <w:szCs w:val="24"/>
        </w:rPr>
      </w:pPr>
    </w:p>
    <w:p>
      <w:pPr>
        <w:pStyle w:val="42"/>
        <w:jc w:val="both"/>
        <w:rPr>
          <w:rFonts w:ascii="Times New Roman" w:hAnsi="Times New Roman" w:cs="Times New Roman"/>
          <w:sz w:val="24"/>
          <w:szCs w:val="24"/>
        </w:rPr>
      </w:pPr>
      <w:r>
        <w:rPr>
          <w:rFonts w:ascii="Times New Roman" w:hAnsi="Times New Roman" w:cs="Times New Roman"/>
          <w:sz w:val="24"/>
          <w:szCs w:val="24"/>
        </w:rPr>
        <w:t>2. Контроль за выполнением настоящего приказа возложить на председателя комиссии ______________</w:t>
      </w:r>
    </w:p>
    <w:tbl>
      <w:tblPr>
        <w:tblStyle w:val="30"/>
        <w:tblW w:w="10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772" w:type="dxa"/>
            <w:tcBorders>
              <w:bottom w:val="single" w:color="auto" w:sz="4" w:space="0"/>
            </w:tcBorders>
          </w:tcPr>
          <w:p>
            <w:pPr>
              <w:pStyle w:val="42"/>
              <w:jc w:val="both"/>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772" w:type="dxa"/>
            <w:tcBorders>
              <w:top w:val="single" w:color="auto" w:sz="4" w:space="0"/>
            </w:tcBorders>
          </w:tcPr>
          <w:p>
            <w:pPr>
              <w:pStyle w:val="42"/>
              <w:jc w:val="center"/>
              <w:rPr>
                <w:rFonts w:ascii="Times New Roman" w:hAnsi="Times New Roman" w:cs="Times New Roman"/>
                <w:sz w:val="24"/>
                <w:szCs w:val="24"/>
              </w:rPr>
            </w:pPr>
            <w:r>
              <w:rPr>
                <w:rFonts w:ascii="Times New Roman" w:hAnsi="Times New Roman" w:cs="Times New Roman"/>
                <w:szCs w:val="24"/>
              </w:rPr>
              <w:t>(Ф.И.О., должность)</w:t>
            </w:r>
          </w:p>
        </w:tc>
      </w:tr>
    </w:tbl>
    <w:p>
      <w:pPr>
        <w:pStyle w:val="42"/>
        <w:jc w:val="both"/>
        <w:rPr>
          <w:rFonts w:ascii="Times New Roman" w:hAnsi="Times New Roman" w:cs="Times New Roman"/>
          <w:sz w:val="24"/>
          <w:szCs w:val="24"/>
        </w:rPr>
      </w:pPr>
    </w:p>
    <w:p>
      <w:pPr>
        <w:pStyle w:val="42"/>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 (___________________)</w:t>
      </w:r>
    </w:p>
    <w:p>
      <w:pPr>
        <w:pStyle w:val="44"/>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1.3.6. Приказ о переводе основных средств на консервацию</w:t>
      </w:r>
    </w:p>
    <w:p>
      <w:pPr>
        <w:widowControl w:val="0"/>
        <w:rPr>
          <w:rFonts w:ascii="Times New Roman" w:hAnsi="Times New Roman"/>
          <w:lang w:eastAsia="ru-RU"/>
        </w:rPr>
      </w:pPr>
    </w:p>
    <w:tbl>
      <w:tblPr>
        <w:tblStyle w:val="29"/>
        <w:tblW w:w="3795" w:type="dxa"/>
        <w:tblInd w:w="0" w:type="dxa"/>
        <w:tblLayout w:type="fixed"/>
        <w:tblCellMar>
          <w:top w:w="0" w:type="dxa"/>
          <w:left w:w="108" w:type="dxa"/>
          <w:bottom w:w="0" w:type="dxa"/>
          <w:right w:w="108" w:type="dxa"/>
        </w:tblCellMar>
      </w:tblPr>
      <w:tblGrid>
        <w:gridCol w:w="3795"/>
      </w:tblGrid>
      <w:tr>
        <w:tblPrEx>
          <w:tblLayout w:type="fixed"/>
          <w:tblCellMar>
            <w:top w:w="0" w:type="dxa"/>
            <w:left w:w="108" w:type="dxa"/>
            <w:bottom w:w="0" w:type="dxa"/>
            <w:right w:w="108" w:type="dxa"/>
          </w:tblCellMar>
        </w:tblPrEx>
        <w:tc>
          <w:tcPr>
            <w:tcW w:w="3795" w:type="dxa"/>
            <w:tcBorders>
              <w:top w:val="nil"/>
              <w:left w:val="nil"/>
              <w:bottom w:val="single" w:color="auto" w:sz="2" w:space="0"/>
              <w:right w:val="nil"/>
            </w:tcBorders>
          </w:tcPr>
          <w:p>
            <w:pPr>
              <w:widowControl w:val="0"/>
              <w:spacing w:after="0" w:line="240" w:lineRule="auto"/>
              <w:jc w:val="center"/>
              <w:rPr>
                <w:rFonts w:ascii="Times New Roman" w:hAnsi="Times New Roman"/>
                <w:sz w:val="24"/>
                <w:szCs w:val="24"/>
                <w:lang w:eastAsia="ru-RU"/>
              </w:rPr>
            </w:pPr>
          </w:p>
        </w:tc>
      </w:tr>
      <w:tr>
        <w:tblPrEx>
          <w:tblLayout w:type="fixed"/>
          <w:tblCellMar>
            <w:top w:w="0" w:type="dxa"/>
            <w:left w:w="108" w:type="dxa"/>
            <w:bottom w:w="0" w:type="dxa"/>
            <w:right w:w="108" w:type="dxa"/>
          </w:tblCellMar>
        </w:tblPrEx>
        <w:tc>
          <w:tcPr>
            <w:tcW w:w="3795" w:type="dxa"/>
            <w:tcBorders>
              <w:top w:val="single" w:color="auto" w:sz="2" w:space="0"/>
              <w:left w:val="nil"/>
              <w:bottom w:val="nil"/>
              <w:right w:val="nil"/>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организации)</w:t>
            </w:r>
          </w:p>
        </w:tc>
      </w:tr>
    </w:tbl>
    <w:p>
      <w:pPr>
        <w:widowControl w:val="0"/>
        <w:spacing w:after="0" w:line="240" w:lineRule="auto"/>
        <w:ind w:firstLine="482"/>
        <w:jc w:val="both"/>
        <w:rPr>
          <w:rFonts w:ascii="Times New Roman" w:hAnsi="Times New Roman"/>
          <w:sz w:val="24"/>
          <w:szCs w:val="24"/>
          <w:lang w:eastAsia="ru-RU"/>
        </w:rPr>
      </w:pPr>
    </w:p>
    <w:tbl>
      <w:tblPr>
        <w:tblStyle w:val="29"/>
        <w:tblW w:w="10772" w:type="dxa"/>
        <w:tblInd w:w="0" w:type="dxa"/>
        <w:tblLayout w:type="fixed"/>
        <w:tblCellMar>
          <w:top w:w="0" w:type="dxa"/>
          <w:left w:w="108" w:type="dxa"/>
          <w:bottom w:w="0" w:type="dxa"/>
          <w:right w:w="108" w:type="dxa"/>
        </w:tblCellMar>
      </w:tblPr>
      <w:tblGrid>
        <w:gridCol w:w="5925"/>
        <w:gridCol w:w="2154"/>
        <w:gridCol w:w="2154"/>
        <w:gridCol w:w="539"/>
      </w:tblGrid>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widowControl w:val="0"/>
              <w:spacing w:after="0" w:line="240" w:lineRule="auto"/>
              <w:ind w:firstLine="482"/>
              <w:rPr>
                <w:rFonts w:ascii="Times New Roman" w:hAnsi="Times New Roman"/>
                <w:sz w:val="24"/>
                <w:szCs w:val="24"/>
                <w:lang w:eastAsia="ru-RU"/>
              </w:rPr>
            </w:pPr>
          </w:p>
        </w:tc>
        <w:tc>
          <w:tcPr>
            <w:tcW w:w="2154" w:type="dxa"/>
            <w:tcBorders>
              <w:top w:val="single" w:color="auto" w:sz="2" w:space="0"/>
              <w:left w:val="single" w:color="auto" w:sz="2" w:space="0"/>
              <w:bottom w:val="single" w:color="auto" w:sz="2" w:space="0"/>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Номер</w:t>
            </w:r>
            <w:r>
              <w:rPr>
                <w:rFonts w:ascii="Times New Roman" w:hAnsi="Times New Roman"/>
                <w:sz w:val="24"/>
                <w:szCs w:val="24"/>
                <w:lang w:eastAsia="ru-RU"/>
              </w:rPr>
              <w:br w:type="textWrapping"/>
            </w:r>
            <w:r>
              <w:rPr>
                <w:rFonts w:ascii="Times New Roman" w:hAnsi="Times New Roman"/>
                <w:sz w:val="24"/>
                <w:szCs w:val="24"/>
                <w:lang w:eastAsia="ru-RU"/>
              </w:rPr>
              <w:t>документа</w:t>
            </w:r>
          </w:p>
        </w:tc>
        <w:tc>
          <w:tcPr>
            <w:tcW w:w="2154" w:type="dxa"/>
            <w:tcBorders>
              <w:top w:val="single" w:color="auto" w:sz="2" w:space="0"/>
              <w:left w:val="single" w:color="auto" w:sz="2" w:space="0"/>
              <w:bottom w:val="single" w:color="auto" w:sz="2" w:space="0"/>
              <w:right w:val="single" w:color="auto" w:sz="2" w:space="0"/>
            </w:tcBorders>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w:t>
            </w:r>
            <w:r>
              <w:rPr>
                <w:rFonts w:ascii="Times New Roman" w:hAnsi="Times New Roman"/>
                <w:sz w:val="24"/>
                <w:szCs w:val="24"/>
                <w:lang w:eastAsia="ru-RU"/>
              </w:rPr>
              <w:br w:type="textWrapping"/>
            </w:r>
            <w:r>
              <w:rPr>
                <w:rFonts w:ascii="Times New Roman" w:hAnsi="Times New Roman"/>
                <w:sz w:val="24"/>
                <w:szCs w:val="24"/>
                <w:lang w:eastAsia="ru-RU"/>
              </w:rPr>
              <w:t>составления</w:t>
            </w:r>
          </w:p>
        </w:tc>
        <w:tc>
          <w:tcPr>
            <w:tcW w:w="539" w:type="dxa"/>
            <w:tcBorders>
              <w:top w:val="nil"/>
              <w:left w:val="single" w:color="auto" w:sz="2" w:space="0"/>
              <w:bottom w:val="nil"/>
              <w:right w:val="nil"/>
            </w:tcBorders>
          </w:tcPr>
          <w:p>
            <w:pPr>
              <w:widowControl w:val="0"/>
              <w:spacing w:after="0" w:line="240" w:lineRule="auto"/>
              <w:rPr>
                <w:rFonts w:ascii="Times New Roman" w:hAnsi="Times New Roman"/>
                <w:sz w:val="24"/>
                <w:szCs w:val="24"/>
                <w:lang w:eastAsia="ru-RU"/>
              </w:rPr>
            </w:pPr>
          </w:p>
        </w:tc>
      </w:tr>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widowControl w:val="0"/>
              <w:spacing w:after="0" w:line="240" w:lineRule="auto"/>
              <w:jc w:val="center"/>
              <w:rPr>
                <w:rFonts w:ascii="Times New Roman" w:hAnsi="Times New Roman"/>
                <w:sz w:val="24"/>
                <w:szCs w:val="24"/>
                <w:lang w:eastAsia="ru-RU"/>
              </w:rPr>
            </w:pPr>
          </w:p>
        </w:tc>
        <w:tc>
          <w:tcPr>
            <w:tcW w:w="2154" w:type="dxa"/>
            <w:tcBorders>
              <w:top w:val="single" w:color="auto" w:sz="2" w:space="0"/>
              <w:left w:val="single" w:color="auto" w:sz="2" w:space="0"/>
              <w:bottom w:val="single" w:color="auto" w:sz="2" w:space="0"/>
              <w:right w:val="single" w:color="auto" w:sz="2" w:space="0"/>
            </w:tcBorders>
          </w:tcPr>
          <w:p>
            <w:pPr>
              <w:widowControl w:val="0"/>
              <w:spacing w:after="0" w:line="240" w:lineRule="auto"/>
              <w:jc w:val="center"/>
              <w:rPr>
                <w:rFonts w:ascii="Times New Roman" w:hAnsi="Times New Roman"/>
                <w:sz w:val="24"/>
                <w:szCs w:val="24"/>
                <w:lang w:eastAsia="ru-RU"/>
              </w:rPr>
            </w:pPr>
          </w:p>
        </w:tc>
        <w:tc>
          <w:tcPr>
            <w:tcW w:w="2154" w:type="dxa"/>
            <w:tcBorders>
              <w:top w:val="single" w:color="auto" w:sz="2" w:space="0"/>
              <w:left w:val="single" w:color="auto" w:sz="2" w:space="0"/>
              <w:bottom w:val="single" w:color="auto" w:sz="2" w:space="0"/>
              <w:right w:val="single" w:color="auto" w:sz="2" w:space="0"/>
            </w:tcBorders>
          </w:tcPr>
          <w:p>
            <w:pPr>
              <w:widowControl w:val="0"/>
              <w:spacing w:after="0" w:line="240" w:lineRule="auto"/>
              <w:jc w:val="center"/>
              <w:rPr>
                <w:rFonts w:ascii="Times New Roman" w:hAnsi="Times New Roman"/>
                <w:sz w:val="24"/>
                <w:szCs w:val="24"/>
                <w:lang w:eastAsia="ru-RU"/>
              </w:rPr>
            </w:pPr>
          </w:p>
        </w:tc>
        <w:tc>
          <w:tcPr>
            <w:tcW w:w="539" w:type="dxa"/>
            <w:tcBorders>
              <w:top w:val="nil"/>
              <w:left w:val="single" w:color="auto" w:sz="2" w:space="0"/>
              <w:bottom w:val="nil"/>
              <w:right w:val="nil"/>
            </w:tcBorders>
          </w:tcPr>
          <w:p>
            <w:pPr>
              <w:widowControl w:val="0"/>
              <w:spacing w:after="0" w:line="240" w:lineRule="auto"/>
              <w:rPr>
                <w:rFonts w:ascii="Times New Roman" w:hAnsi="Times New Roman"/>
                <w:sz w:val="24"/>
                <w:szCs w:val="24"/>
                <w:lang w:eastAsia="ru-RU"/>
              </w:rPr>
            </w:pPr>
          </w:p>
        </w:tc>
      </w:tr>
    </w:tbl>
    <w:p>
      <w:pPr>
        <w:widowControl w:val="0"/>
        <w:spacing w:after="0" w:line="240" w:lineRule="auto"/>
        <w:ind w:firstLine="482"/>
        <w:jc w:val="both"/>
        <w:rPr>
          <w:rFonts w:ascii="Times New Roman" w:hAnsi="Times New Roman"/>
          <w:sz w:val="24"/>
          <w:szCs w:val="24"/>
          <w:lang w:eastAsia="ru-RU"/>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ПРИКАЗ</w:t>
            </w:r>
          </w:p>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 переводе основных средств на консервацию</w:t>
            </w:r>
          </w:p>
          <w:p>
            <w:pPr>
              <w:widowControl w:val="0"/>
              <w:spacing w:after="0" w:line="240" w:lineRule="auto"/>
              <w:jc w:val="center"/>
              <w:rPr>
                <w:rFonts w:ascii="Times New Roman" w:hAnsi="Times New Roman"/>
                <w:sz w:val="24"/>
                <w:szCs w:val="24"/>
                <w:lang w:eastAsia="ru-RU"/>
              </w:rPr>
            </w:pPr>
          </w:p>
        </w:tc>
      </w:tr>
    </w:tbl>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ПРИКАЗЫВАЮ:</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Перевести на консервацию объект(ы) основных средств согласно приложению № 1 к настоящему приказу в связи с __________________________________________________________________________</w:t>
      </w:r>
    </w:p>
    <w:p>
      <w:pPr>
        <w:widowControl w:val="0"/>
        <w:spacing w:after="0" w:line="240" w:lineRule="auto"/>
        <w:ind w:left="1843"/>
        <w:jc w:val="center"/>
        <w:rPr>
          <w:rFonts w:ascii="Times New Roman" w:hAnsi="Times New Roman"/>
          <w:sz w:val="24"/>
          <w:szCs w:val="24"/>
          <w:lang w:eastAsia="ru-RU"/>
        </w:rPr>
      </w:pPr>
      <w:r>
        <w:rPr>
          <w:rFonts w:ascii="Times New Roman" w:hAnsi="Times New Roman"/>
          <w:sz w:val="24"/>
          <w:szCs w:val="24"/>
          <w:lang w:eastAsia="ru-RU"/>
        </w:rPr>
        <w:t>(указать причины перевода на консервацию)</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Консервацию произвести в срок не позднее "__"___________ 20___ г.</w:t>
      </w:r>
    </w:p>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Ответственность за проведение консервации возложить на</w:t>
      </w:r>
    </w:p>
    <w:tbl>
      <w:tblPr>
        <w:tblStyle w:val="29"/>
        <w:tblW w:w="5436" w:type="dxa"/>
        <w:tblInd w:w="0" w:type="dxa"/>
        <w:tblLayout w:type="fixed"/>
        <w:tblCellMar>
          <w:top w:w="0" w:type="dxa"/>
          <w:left w:w="108" w:type="dxa"/>
          <w:bottom w:w="0" w:type="dxa"/>
          <w:right w:w="108" w:type="dxa"/>
        </w:tblCellMar>
      </w:tblPr>
      <w:tblGrid>
        <w:gridCol w:w="5436"/>
      </w:tblGrid>
      <w:tr>
        <w:tblPrEx>
          <w:tblLayout w:type="fixed"/>
          <w:tblCellMar>
            <w:top w:w="0" w:type="dxa"/>
            <w:left w:w="108" w:type="dxa"/>
            <w:bottom w:w="0" w:type="dxa"/>
            <w:right w:w="108" w:type="dxa"/>
          </w:tblCellMar>
        </w:tblPrEx>
        <w:tc>
          <w:tcPr>
            <w:tcW w:w="5436" w:type="dxa"/>
          </w:tcPr>
          <w:p>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w:t>
            </w:r>
          </w:p>
        </w:tc>
      </w:tr>
      <w:tr>
        <w:tblPrEx>
          <w:tblLayout w:type="fixed"/>
          <w:tblCellMar>
            <w:top w:w="0" w:type="dxa"/>
            <w:left w:w="108" w:type="dxa"/>
            <w:bottom w:w="0" w:type="dxa"/>
            <w:right w:w="108" w:type="dxa"/>
          </w:tblCellMar>
        </w:tblPrEx>
        <w:tc>
          <w:tcPr>
            <w:tcW w:w="5436" w:type="dxa"/>
          </w:tcPr>
          <w:p>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(Ф.И.О., должность ответственного лица)</w:t>
            </w:r>
          </w:p>
        </w:tc>
      </w:tr>
    </w:tbl>
    <w:p>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Руководитель организации __________________ (___________________)</w:t>
      </w:r>
    </w:p>
    <w:tbl>
      <w:tblPr>
        <w:tblStyle w:val="29"/>
        <w:tblW w:w="10772" w:type="dxa"/>
        <w:tblInd w:w="0" w:type="dxa"/>
        <w:tblLayout w:type="fixed"/>
        <w:tblCellMar>
          <w:top w:w="0" w:type="dxa"/>
          <w:left w:w="108" w:type="dxa"/>
          <w:bottom w:w="0" w:type="dxa"/>
          <w:right w:w="108" w:type="dxa"/>
        </w:tblCellMar>
      </w:tblPr>
      <w:tblGrid>
        <w:gridCol w:w="3555"/>
        <w:gridCol w:w="7217"/>
      </w:tblGrid>
      <w:tr>
        <w:tblPrEx>
          <w:tblLayout w:type="fixed"/>
          <w:tblCellMar>
            <w:top w:w="0" w:type="dxa"/>
            <w:left w:w="108" w:type="dxa"/>
            <w:bottom w:w="0" w:type="dxa"/>
            <w:right w:w="108" w:type="dxa"/>
          </w:tblCellMar>
        </w:tblPrEx>
        <w:tc>
          <w:tcPr>
            <w:tcW w:w="3555" w:type="dxa"/>
          </w:tcPr>
          <w:p>
            <w:pPr>
              <w:widowControl w:val="0"/>
              <w:spacing w:after="0" w:line="240" w:lineRule="auto"/>
              <w:ind w:firstLine="482"/>
              <w:rPr>
                <w:rFonts w:ascii="Times New Roman" w:hAnsi="Times New Roman"/>
                <w:sz w:val="24"/>
                <w:szCs w:val="24"/>
                <w:lang w:eastAsia="ru-RU"/>
              </w:rPr>
            </w:pPr>
          </w:p>
        </w:tc>
        <w:tc>
          <w:tcPr>
            <w:tcW w:w="7217" w:type="dxa"/>
          </w:tcPr>
          <w:p>
            <w:pPr>
              <w:widowControl w:val="0"/>
              <w:spacing w:after="0" w:line="240" w:lineRule="auto"/>
              <w:jc w:val="right"/>
              <w:rPr>
                <w:rFonts w:ascii="Times New Roman" w:hAnsi="Times New Roman"/>
                <w:sz w:val="24"/>
                <w:szCs w:val="24"/>
                <w:lang w:eastAsia="ru-RU"/>
              </w:rPr>
            </w:pPr>
          </w:p>
          <w:p>
            <w:pPr>
              <w:widowControl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val="en-US" w:eastAsia="ru-RU"/>
              </w:rPr>
              <w:t>№</w:t>
            </w:r>
            <w:r>
              <w:rPr>
                <w:rFonts w:ascii="Times New Roman" w:hAnsi="Times New Roman"/>
                <w:sz w:val="24"/>
                <w:szCs w:val="24"/>
                <w:lang w:eastAsia="ru-RU"/>
              </w:rPr>
              <w:t xml:space="preserve"> 1 к приказу от____________ </w:t>
            </w:r>
            <w:r>
              <w:rPr>
                <w:rFonts w:ascii="Times New Roman" w:hAnsi="Times New Roman"/>
                <w:sz w:val="24"/>
                <w:szCs w:val="24"/>
                <w:lang w:val="en-US" w:eastAsia="ru-RU"/>
              </w:rPr>
              <w:t>№</w:t>
            </w:r>
            <w:r>
              <w:rPr>
                <w:rFonts w:ascii="Times New Roman" w:hAnsi="Times New Roman"/>
                <w:sz w:val="24"/>
                <w:szCs w:val="24"/>
                <w:lang w:eastAsia="ru-RU"/>
              </w:rPr>
              <w:t>___</w:t>
            </w:r>
          </w:p>
        </w:tc>
      </w:tr>
    </w:tbl>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1559"/>
        <w:gridCol w:w="2055"/>
        <w:gridCol w:w="1489"/>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rPr>
                <w:lang w:val="ru-RU"/>
              </w:rPr>
              <w:t>№</w:t>
            </w:r>
            <w:r>
              <w:t xml:space="preserve"> п/п</w:t>
            </w:r>
          </w:p>
        </w:tc>
        <w:tc>
          <w:tcPr>
            <w:tcW w:w="1701"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Наименование</w:t>
            </w: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Инвентарный номер</w:t>
            </w:r>
          </w:p>
        </w:tc>
        <w:tc>
          <w:tcPr>
            <w:tcW w:w="2055"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Эксплуатирующее подразделение</w:t>
            </w:r>
          </w:p>
        </w:tc>
        <w:tc>
          <w:tcPr>
            <w:tcW w:w="148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Срок консервации объекта</w:t>
            </w: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Перечень мероприятий по консервации</w:t>
            </w:r>
          </w:p>
        </w:tc>
        <w:tc>
          <w:tcPr>
            <w:tcW w:w="2126"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Лица, ответственные за сохранность объектов на консервации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05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8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05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8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05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8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05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8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1.3.7. Акт о консервации объектов основных средств</w:t>
      </w:r>
    </w:p>
    <w:p>
      <w:pPr>
        <w:widowControl w:val="0"/>
        <w:spacing w:after="0" w:line="240" w:lineRule="auto"/>
        <w:rPr>
          <w:rFonts w:ascii="Times New Roman" w:hAnsi="Times New Roman"/>
          <w:sz w:val="24"/>
          <w:szCs w:val="24"/>
          <w:lang w:eastAsia="ru-RU"/>
        </w:rPr>
      </w:pPr>
    </w:p>
    <w:tbl>
      <w:tblPr>
        <w:tblStyle w:val="29"/>
        <w:tblW w:w="3810" w:type="dxa"/>
        <w:tblInd w:w="0" w:type="dxa"/>
        <w:tblLayout w:type="fixed"/>
        <w:tblCellMar>
          <w:top w:w="0" w:type="dxa"/>
          <w:left w:w="108" w:type="dxa"/>
          <w:bottom w:w="0" w:type="dxa"/>
          <w:right w:w="108" w:type="dxa"/>
        </w:tblCellMar>
      </w:tblPr>
      <w:tblGrid>
        <w:gridCol w:w="3810"/>
      </w:tblGrid>
      <w:tr>
        <w:tblPrEx>
          <w:tblLayout w:type="fixed"/>
          <w:tblCellMar>
            <w:top w:w="0" w:type="dxa"/>
            <w:left w:w="108" w:type="dxa"/>
            <w:bottom w:w="0" w:type="dxa"/>
            <w:right w:w="108" w:type="dxa"/>
          </w:tblCellMar>
        </w:tblPrEx>
        <w:tc>
          <w:tcPr>
            <w:tcW w:w="3810" w:type="dxa"/>
            <w:tcBorders>
              <w:top w:val="nil"/>
              <w:left w:val="nil"/>
              <w:bottom w:val="single" w:color="auto" w:sz="2" w:space="0"/>
              <w:right w:val="nil"/>
            </w:tcBorders>
          </w:tcPr>
          <w:p>
            <w:pPr>
              <w:pStyle w:val="43"/>
              <w:widowControl w:val="0"/>
              <w:spacing w:before="0" w:after="0" w:line="240" w:lineRule="auto"/>
              <w:jc w:val="center"/>
              <w:rPr>
                <w:sz w:val="24"/>
                <w:szCs w:val="24"/>
              </w:rPr>
            </w:pPr>
          </w:p>
        </w:tc>
      </w:tr>
      <w:tr>
        <w:tblPrEx>
          <w:tblLayout w:type="fixed"/>
          <w:tblCellMar>
            <w:top w:w="0" w:type="dxa"/>
            <w:left w:w="108" w:type="dxa"/>
            <w:bottom w:w="0" w:type="dxa"/>
            <w:right w:w="108" w:type="dxa"/>
          </w:tblCellMar>
        </w:tblPrEx>
        <w:tc>
          <w:tcPr>
            <w:tcW w:w="3810" w:type="dxa"/>
            <w:tcBorders>
              <w:top w:val="single" w:color="auto" w:sz="2" w:space="0"/>
              <w:left w:val="nil"/>
              <w:bottom w:val="nil"/>
              <w:right w:val="nil"/>
            </w:tcBorders>
          </w:tcPr>
          <w:p>
            <w:pPr>
              <w:pStyle w:val="43"/>
              <w:widowControl w:val="0"/>
              <w:spacing w:before="0" w:after="0" w:line="240" w:lineRule="auto"/>
              <w:jc w:val="center"/>
              <w:rPr>
                <w:sz w:val="24"/>
                <w:szCs w:val="24"/>
              </w:rPr>
            </w:pPr>
            <w:r>
              <w:rPr>
                <w:sz w:val="24"/>
                <w:szCs w:val="24"/>
              </w:rPr>
              <w:t>(наименование организации)</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pStyle w:val="43"/>
              <w:widowControl w:val="0"/>
              <w:spacing w:before="0" w:after="0" w:line="240" w:lineRule="auto"/>
              <w:jc w:val="right"/>
              <w:rPr>
                <w:sz w:val="24"/>
                <w:szCs w:val="24"/>
              </w:rPr>
            </w:pPr>
            <w:r>
              <w:rPr>
                <w:sz w:val="24"/>
                <w:szCs w:val="24"/>
              </w:rPr>
              <w:t>УТВЕРЖДАЮ</w:t>
            </w:r>
          </w:p>
          <w:p>
            <w:pPr>
              <w:pStyle w:val="43"/>
              <w:widowControl w:val="0"/>
              <w:spacing w:before="0" w:after="0" w:line="240" w:lineRule="auto"/>
              <w:jc w:val="right"/>
              <w:rPr>
                <w:sz w:val="24"/>
                <w:szCs w:val="24"/>
              </w:rPr>
            </w:pPr>
            <w:r>
              <w:rPr>
                <w:sz w:val="24"/>
                <w:szCs w:val="24"/>
              </w:rPr>
              <w:t>Руководитель организации</w:t>
            </w:r>
          </w:p>
          <w:p>
            <w:pPr>
              <w:pStyle w:val="43"/>
              <w:widowControl w:val="0"/>
              <w:spacing w:before="0" w:after="0" w:line="240" w:lineRule="auto"/>
              <w:jc w:val="right"/>
              <w:rPr>
                <w:sz w:val="24"/>
                <w:szCs w:val="24"/>
              </w:rPr>
            </w:pPr>
            <w:r>
              <w:rPr>
                <w:sz w:val="24"/>
                <w:szCs w:val="24"/>
              </w:rPr>
              <w:t>____________________________</w:t>
            </w:r>
          </w:p>
          <w:p>
            <w:pPr>
              <w:pStyle w:val="43"/>
              <w:widowControl w:val="0"/>
              <w:spacing w:before="0" w:after="0" w:line="240" w:lineRule="auto"/>
              <w:jc w:val="right"/>
              <w:rPr>
                <w:sz w:val="24"/>
                <w:szCs w:val="24"/>
              </w:rPr>
            </w:pPr>
            <w:r>
              <w:rPr>
                <w:sz w:val="24"/>
                <w:szCs w:val="24"/>
              </w:rPr>
              <w:t>«__» _________________ 20__ г.</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5925"/>
        <w:gridCol w:w="2154"/>
        <w:gridCol w:w="2154"/>
        <w:gridCol w:w="539"/>
      </w:tblGrid>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widowControl w:val="0"/>
              <w:spacing w:after="0" w:line="240" w:lineRule="auto"/>
              <w:rPr>
                <w:rFonts w:ascii="Times New Roman" w:hAnsi="Times New Roman"/>
                <w:sz w:val="24"/>
                <w:szCs w:val="24"/>
              </w:rPr>
            </w:pP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r>
              <w:rPr>
                <w:sz w:val="24"/>
                <w:szCs w:val="24"/>
              </w:rPr>
              <w:t>Номер</w:t>
            </w:r>
            <w:r>
              <w:rPr>
                <w:sz w:val="24"/>
                <w:szCs w:val="24"/>
              </w:rPr>
              <w:br w:type="textWrapping"/>
            </w:r>
            <w:r>
              <w:rPr>
                <w:sz w:val="24"/>
                <w:szCs w:val="24"/>
              </w:rPr>
              <w:t>документа</w:t>
            </w: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r>
              <w:rPr>
                <w:sz w:val="24"/>
                <w:szCs w:val="24"/>
              </w:rPr>
              <w:t>Дата</w:t>
            </w:r>
            <w:r>
              <w:rPr>
                <w:sz w:val="24"/>
                <w:szCs w:val="24"/>
              </w:rPr>
              <w:br w:type="textWrapping"/>
            </w:r>
            <w:r>
              <w:rPr>
                <w:sz w:val="24"/>
                <w:szCs w:val="24"/>
              </w:rPr>
              <w:t>составления</w:t>
            </w:r>
          </w:p>
        </w:tc>
        <w:tc>
          <w:tcPr>
            <w:tcW w:w="539" w:type="dxa"/>
            <w:tcBorders>
              <w:top w:val="nil"/>
              <w:left w:val="single" w:color="auto" w:sz="2" w:space="0"/>
              <w:bottom w:val="nil"/>
              <w:right w:val="nil"/>
            </w:tcBorders>
          </w:tcPr>
          <w:p>
            <w:pPr>
              <w:pStyle w:val="43"/>
              <w:widowControl w:val="0"/>
              <w:spacing w:before="0" w:after="0" w:line="240" w:lineRule="auto"/>
              <w:jc w:val="left"/>
              <w:rPr>
                <w:sz w:val="24"/>
                <w:szCs w:val="24"/>
              </w:rPr>
            </w:pPr>
            <w:r>
              <w:rPr>
                <w:sz w:val="24"/>
                <w:szCs w:val="24"/>
              </w:rPr>
              <w:t xml:space="preserve"> </w:t>
            </w:r>
          </w:p>
        </w:tc>
      </w:tr>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pStyle w:val="43"/>
              <w:widowControl w:val="0"/>
              <w:spacing w:before="0" w:after="0" w:line="240" w:lineRule="auto"/>
              <w:jc w:val="center"/>
              <w:rPr>
                <w:sz w:val="24"/>
                <w:szCs w:val="24"/>
              </w:rPr>
            </w:pPr>
            <w:r>
              <w:rPr>
                <w:sz w:val="24"/>
                <w:szCs w:val="24"/>
              </w:rPr>
              <w:t xml:space="preserve"> </w:t>
            </w: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p>
        </w:tc>
        <w:tc>
          <w:tcPr>
            <w:tcW w:w="539" w:type="dxa"/>
            <w:tcBorders>
              <w:top w:val="nil"/>
              <w:left w:val="single" w:color="auto" w:sz="2" w:space="0"/>
              <w:bottom w:val="nil"/>
              <w:right w:val="nil"/>
            </w:tcBorders>
          </w:tcPr>
          <w:p>
            <w:pPr>
              <w:pStyle w:val="43"/>
              <w:widowControl w:val="0"/>
              <w:spacing w:before="0" w:after="0" w:line="240" w:lineRule="auto"/>
              <w:jc w:val="left"/>
              <w:rPr>
                <w:sz w:val="24"/>
                <w:szCs w:val="24"/>
              </w:rPr>
            </w:pPr>
            <w:r>
              <w:rPr>
                <w:sz w:val="24"/>
                <w:szCs w:val="24"/>
              </w:rPr>
              <w:t xml:space="preserve"> </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pStyle w:val="43"/>
              <w:widowControl w:val="0"/>
              <w:spacing w:before="0" w:after="0" w:line="240" w:lineRule="auto"/>
              <w:jc w:val="center"/>
              <w:rPr>
                <w:sz w:val="24"/>
                <w:szCs w:val="24"/>
              </w:rPr>
            </w:pPr>
            <w:r>
              <w:rPr>
                <w:sz w:val="24"/>
                <w:szCs w:val="24"/>
              </w:rPr>
              <w:t>АКТ</w:t>
            </w:r>
          </w:p>
          <w:p>
            <w:pPr>
              <w:pStyle w:val="43"/>
              <w:widowControl w:val="0"/>
              <w:spacing w:before="0" w:after="0" w:line="240" w:lineRule="auto"/>
              <w:jc w:val="center"/>
              <w:rPr>
                <w:sz w:val="24"/>
                <w:szCs w:val="24"/>
              </w:rPr>
            </w:pPr>
            <w:r>
              <w:rPr>
                <w:sz w:val="24"/>
                <w:szCs w:val="24"/>
              </w:rPr>
              <w:t>о консервации объектов основных средств</w:t>
            </w:r>
          </w:p>
        </w:tc>
      </w:tr>
    </w:tbl>
    <w:p>
      <w:pPr>
        <w:widowControl w:val="0"/>
        <w:spacing w:after="0" w:line="240" w:lineRule="auto"/>
        <w:rPr>
          <w:rFonts w:ascii="Times New Roman" w:hAnsi="Times New Roman"/>
          <w:sz w:val="24"/>
          <w:szCs w:val="24"/>
        </w:rPr>
      </w:pPr>
      <w:r>
        <w:rPr>
          <w:rFonts w:ascii="Times New Roman" w:hAnsi="Times New Roman"/>
          <w:sz w:val="24"/>
          <w:szCs w:val="24"/>
        </w:rPr>
        <w:t xml:space="preserve">На основании приказа руководителя от «__» _________________ 20__ г. </w:t>
      </w:r>
      <w:r>
        <w:rPr>
          <w:rFonts w:ascii="Times New Roman" w:hAnsi="Times New Roman"/>
          <w:sz w:val="24"/>
          <w:szCs w:val="24"/>
          <w:lang w:val="ru-RU"/>
        </w:rPr>
        <w:t>№</w:t>
      </w:r>
      <w:r>
        <w:rPr>
          <w:rFonts w:ascii="Times New Roman" w:hAnsi="Times New Roman"/>
          <w:sz w:val="24"/>
          <w:szCs w:val="24"/>
        </w:rPr>
        <w:t xml:space="preserve"> ____ о переводе основных средств на консервацию «__» _________________ 20__ г. проведена консервация объекта (ов) основных средств.</w:t>
      </w:r>
    </w:p>
    <w:p>
      <w:pPr>
        <w:widowControl w:val="0"/>
        <w:spacing w:after="0" w:line="240" w:lineRule="auto"/>
        <w:rPr>
          <w:rFonts w:ascii="Times New Roman" w:hAnsi="Times New Roman"/>
          <w:sz w:val="24"/>
          <w:szCs w:val="24"/>
        </w:rPr>
      </w:pPr>
    </w:p>
    <w:p>
      <w:pPr>
        <w:widowControl w:val="0"/>
        <w:spacing w:after="0" w:line="240" w:lineRule="auto"/>
        <w:rPr>
          <w:rFonts w:ascii="Times New Roman" w:hAnsi="Times New Roman"/>
          <w:sz w:val="24"/>
          <w:szCs w:val="24"/>
        </w:rPr>
      </w:pPr>
      <w:r>
        <w:rPr>
          <w:rFonts w:ascii="Times New Roman" w:hAnsi="Times New Roman"/>
          <w:sz w:val="24"/>
          <w:szCs w:val="24"/>
        </w:rPr>
        <w:t>1. Общие сведения об объекте (ах)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85"/>
        <w:gridCol w:w="1559"/>
        <w:gridCol w:w="255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rPr>
                <w:lang w:val="ru-RU"/>
              </w:rPr>
              <w:t>№</w:t>
            </w:r>
            <w:r>
              <w:t xml:space="preserve"> п/п</w:t>
            </w:r>
          </w:p>
        </w:tc>
        <w:tc>
          <w:tcPr>
            <w:tcW w:w="3085"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Наименование/инвентарный номер</w:t>
            </w: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Год выпуска (постройки)</w:t>
            </w:r>
          </w:p>
        </w:tc>
        <w:tc>
          <w:tcPr>
            <w:tcW w:w="2552"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Дата принятия к бухгалтерскому учету</w:t>
            </w:r>
          </w:p>
        </w:tc>
        <w:tc>
          <w:tcPr>
            <w:tcW w:w="3260"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Фактический срок эксплуатации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3085"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1559"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552"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3260"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08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5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26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08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5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26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08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5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26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08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5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260"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2. Сведения о стоимости объекта(ов) основных средств на дату перевода на консервацию</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09"/>
        <w:gridCol w:w="1843"/>
        <w:gridCol w:w="1701"/>
        <w:gridCol w:w="170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7"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lang w:val="ru-RU"/>
              </w:rPr>
              <w:t>№</w:t>
            </w:r>
            <w:r>
              <w:rPr>
                <w:rFonts w:ascii="Times New Roman" w:hAnsi="Times New Roman" w:cs="Times New Roman"/>
                <w:sz w:val="24"/>
                <w:szCs w:val="24"/>
              </w:rPr>
              <w:t xml:space="preserve"> п/п</w:t>
            </w:r>
          </w:p>
        </w:tc>
        <w:tc>
          <w:tcPr>
            <w:tcW w:w="1809"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Наименование/инвентарный номер</w:t>
            </w:r>
          </w:p>
        </w:tc>
        <w:tc>
          <w:tcPr>
            <w:tcW w:w="1843"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Первоначальная стоимость, руб.</w:t>
            </w:r>
          </w:p>
        </w:tc>
        <w:tc>
          <w:tcPr>
            <w:tcW w:w="1701"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Ликвидационная стоимость, руб.</w:t>
            </w:r>
          </w:p>
        </w:tc>
        <w:tc>
          <w:tcPr>
            <w:tcW w:w="1701"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Срок полезного использования, мес.</w:t>
            </w:r>
          </w:p>
        </w:tc>
        <w:tc>
          <w:tcPr>
            <w:tcW w:w="1843"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Сумма накопленной амортизации, руб.</w:t>
            </w:r>
          </w:p>
        </w:tc>
        <w:tc>
          <w:tcPr>
            <w:tcW w:w="1559"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Балансовая 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1</w:t>
            </w:r>
          </w:p>
        </w:tc>
        <w:tc>
          <w:tcPr>
            <w:tcW w:w="1809"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color="auto" w:sz="6" w:space="0"/>
              <w:left w:val="single" w:color="auto" w:sz="6" w:space="0"/>
              <w:bottom w:val="single" w:color="auto" w:sz="6" w:space="0"/>
              <w:right w:val="single" w:color="auto" w:sz="6" w:space="0"/>
            </w:tcBorders>
          </w:tcPr>
          <w:p>
            <w:pPr>
              <w:pStyle w:val="44"/>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0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0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0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0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44"/>
              <w:rPr>
                <w:rFonts w:ascii="Times New Roman" w:hAnsi="Times New Roman" w:cs="Times New Roman"/>
                <w:sz w:val="24"/>
                <w:szCs w:val="24"/>
              </w:rPr>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3. Сведения о техническом состоянии и технических характеристиках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42"/>
        <w:gridCol w:w="1910"/>
        <w:gridCol w:w="1276"/>
        <w:gridCol w:w="226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1742"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Наименование/инвентарный номер</w:t>
            </w:r>
          </w:p>
        </w:tc>
        <w:tc>
          <w:tcPr>
            <w:tcW w:w="1910"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Техническое состояние на дату перевода на консервацию</w:t>
            </w:r>
          </w:p>
        </w:tc>
        <w:tc>
          <w:tcPr>
            <w:tcW w:w="1276"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Масса объекта</w:t>
            </w:r>
          </w:p>
        </w:tc>
        <w:tc>
          <w:tcPr>
            <w:tcW w:w="2268"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Производительность (грузоподъемность)</w:t>
            </w:r>
          </w:p>
        </w:tc>
        <w:tc>
          <w:tcPr>
            <w:tcW w:w="1843"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Дата последнего капитального ремонта</w:t>
            </w:r>
          </w:p>
        </w:tc>
        <w:tc>
          <w:tcPr>
            <w:tcW w:w="1417"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1742"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1910"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1276"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2268"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1843"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91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91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91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91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6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8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4. Сведения о переводе на консервацию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14"/>
        <w:gridCol w:w="2614"/>
        <w:gridCol w:w="22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Наименование/инвентарный номер</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Причины перевода на консервацию</w:t>
            </w:r>
          </w:p>
        </w:tc>
        <w:tc>
          <w:tcPr>
            <w:tcW w:w="2251" w:type="dxa"/>
            <w:tcBorders>
              <w:top w:val="single" w:color="auto" w:sz="6" w:space="0"/>
              <w:left w:val="single" w:color="auto" w:sz="6" w:space="0"/>
              <w:bottom w:val="single" w:color="auto" w:sz="6" w:space="0"/>
              <w:right w:val="single" w:color="auto" w:sz="6" w:space="0"/>
            </w:tcBorders>
          </w:tcPr>
          <w:p>
            <w:pPr>
              <w:pStyle w:val="45"/>
              <w:autoSpaceDE/>
              <w:jc w:val="center"/>
            </w:pPr>
            <w:r>
              <w:t>Срок окончания консервации</w:t>
            </w:r>
          </w:p>
        </w:tc>
        <w:tc>
          <w:tcPr>
            <w:tcW w:w="2977" w:type="dxa"/>
            <w:tcBorders>
              <w:top w:val="single" w:color="auto" w:sz="6" w:space="0"/>
              <w:left w:val="single" w:color="auto" w:sz="6" w:space="0"/>
              <w:bottom w:val="single" w:color="auto" w:sz="6" w:space="0"/>
              <w:right w:val="single" w:color="auto" w:sz="6" w:space="0"/>
            </w:tcBorders>
          </w:tcPr>
          <w:p>
            <w:pPr>
              <w:pStyle w:val="45"/>
              <w:autoSpaceDE/>
              <w:jc w:val="center"/>
            </w:pPr>
            <w:r>
              <w:t>Лица, ответственные за сохранность объекта(ов) на консервации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251"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2977"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25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7"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5. Сведения о произведенных работах и затратах на консервацию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35"/>
        <w:gridCol w:w="381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center"/>
            </w:pPr>
            <w:r>
              <w:t>Вид работы</w:t>
            </w:r>
          </w:p>
        </w:tc>
        <w:tc>
          <w:tcPr>
            <w:tcW w:w="3811" w:type="dxa"/>
            <w:tcBorders>
              <w:top w:val="single" w:color="auto" w:sz="6" w:space="0"/>
              <w:left w:val="single" w:color="auto" w:sz="6" w:space="0"/>
              <w:bottom w:val="single" w:color="auto" w:sz="6" w:space="0"/>
              <w:right w:val="single" w:color="auto" w:sz="6" w:space="0"/>
            </w:tcBorders>
          </w:tcPr>
          <w:p>
            <w:pPr>
              <w:pStyle w:val="45"/>
              <w:autoSpaceDE/>
              <w:jc w:val="center"/>
            </w:pPr>
            <w:r>
              <w:t>Первичный документ, номер, дата</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center"/>
            </w:pPr>
            <w: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3811"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r>
              <w:t>Наименование объекта/инвентарный номер</w:t>
            </w: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2835" w:type="dxa"/>
            <w:tcBorders>
              <w:top w:val="single" w:color="auto" w:sz="6" w:space="0"/>
              <w:left w:val="single" w:color="auto" w:sz="6" w:space="0"/>
              <w:bottom w:val="single" w:color="auto" w:sz="6" w:space="0"/>
              <w:right w:val="single" w:color="auto" w:sz="6" w:space="0"/>
            </w:tcBorders>
          </w:tcPr>
          <w:p>
            <w:pPr>
              <w:pStyle w:val="45"/>
              <w:autoSpaceDE/>
            </w:pPr>
            <w:r>
              <w:t>Наименование объекта/инвентарный номер</w:t>
            </w: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835" w:type="dxa"/>
            <w:tcBorders>
              <w:top w:val="single" w:color="auto" w:sz="6" w:space="0"/>
              <w:left w:val="single" w:color="auto" w:sz="6" w:space="0"/>
              <w:bottom w:val="single" w:color="auto" w:sz="6" w:space="0"/>
              <w:right w:val="single" w:color="auto" w:sz="6" w:space="0"/>
            </w:tcBorders>
          </w:tcPr>
          <w:p>
            <w:pPr>
              <w:pStyle w:val="45"/>
              <w:autoSpaceDE/>
            </w:pPr>
            <w:r>
              <w:t>Наименование объекта/инвентарный номер</w:t>
            </w: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1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6646" w:type="dxa"/>
            <w:gridSpan w:val="2"/>
            <w:tcBorders>
              <w:top w:val="single" w:color="auto" w:sz="6" w:space="0"/>
              <w:left w:val="single" w:color="auto" w:sz="6" w:space="0"/>
              <w:bottom w:val="single" w:color="auto" w:sz="6" w:space="0"/>
              <w:right w:val="single" w:color="auto" w:sz="6" w:space="0"/>
            </w:tcBorders>
          </w:tcPr>
          <w:p>
            <w:pPr>
              <w:pStyle w:val="45"/>
              <w:autoSpaceDE/>
              <w:jc w:val="right"/>
            </w:pPr>
            <w:r>
              <w:t>Итого</w:t>
            </w:r>
          </w:p>
        </w:tc>
        <w:tc>
          <w:tcPr>
            <w:tcW w:w="3827"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widowControl w:val="0"/>
        <w:spacing w:after="0" w:line="240" w:lineRule="auto"/>
        <w:rPr>
          <w:rFonts w:ascii="Times New Roman" w:hAnsi="Times New Roman"/>
          <w:sz w:val="24"/>
          <w:szCs w:val="24"/>
        </w:rPr>
      </w:pPr>
      <w:r>
        <w:rPr>
          <w:rFonts w:ascii="Times New Roman" w:hAnsi="Times New Roman"/>
          <w:sz w:val="24"/>
          <w:szCs w:val="24"/>
        </w:rPr>
        <w:t>Заключение комиссии:</w:t>
      </w:r>
    </w:p>
    <w:p>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Предусмотренные приказом руководителя от «__» _________________ 20__ г. </w:t>
      </w:r>
      <w:r>
        <w:rPr>
          <w:rFonts w:ascii="Times New Roman" w:hAnsi="Times New Roman"/>
          <w:sz w:val="24"/>
          <w:szCs w:val="24"/>
          <w:lang w:val="ru-RU"/>
        </w:rPr>
        <w:t>№</w:t>
      </w:r>
      <w:r>
        <w:rPr>
          <w:rFonts w:ascii="Times New Roman" w:hAnsi="Times New Roman"/>
          <w:sz w:val="24"/>
          <w:szCs w:val="24"/>
        </w:rPr>
        <w:t xml:space="preserve"> ____ мероприятия по консервации проведены </w:t>
      </w:r>
      <w:r>
        <w:rPr>
          <w:rFonts w:ascii="Times New Roman" w:hAnsi="Times New Roman"/>
          <w:i/>
          <w:sz w:val="24"/>
          <w:szCs w:val="24"/>
        </w:rPr>
        <w:t>(выбрать нужное):</w:t>
      </w:r>
    </w:p>
    <w:p>
      <w:pPr>
        <w:widowControl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полностью;</w:t>
      </w:r>
    </w:p>
    <w:p>
      <w:pPr>
        <w:widowControl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не полностью </w:t>
      </w:r>
      <w:r>
        <w:rPr>
          <w:rFonts w:ascii="Times New Roman" w:hAnsi="Times New Roman"/>
          <w:sz w:val="24"/>
          <w:szCs w:val="24"/>
        </w:rPr>
        <w:t>___________________________________________________________________________</w:t>
      </w:r>
    </w:p>
    <w:p>
      <w:pPr>
        <w:widowControl w:val="0"/>
        <w:spacing w:after="0" w:line="240" w:lineRule="auto"/>
        <w:ind w:left="1701"/>
        <w:jc w:val="center"/>
        <w:rPr>
          <w:rFonts w:ascii="Times New Roman" w:hAnsi="Times New Roman"/>
          <w:sz w:val="24"/>
          <w:szCs w:val="24"/>
        </w:rPr>
      </w:pPr>
      <w:r>
        <w:rPr>
          <w:rFonts w:ascii="Times New Roman" w:hAnsi="Times New Roman"/>
          <w:i/>
          <w:sz w:val="24"/>
          <w:szCs w:val="24"/>
        </w:rPr>
        <w:t>(указать, что именно не выполнено)</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По окончании работ по консервации и после утверждения настоящего акта объект(ы) считается(ются) законсервированным(и).</w:t>
      </w:r>
    </w:p>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2881"/>
        <w:gridCol w:w="3319"/>
        <w:gridCol w:w="296"/>
        <w:gridCol w:w="3980"/>
        <w:gridCol w:w="296"/>
      </w:tblGrid>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r>
              <w:rPr>
                <w:sz w:val="24"/>
                <w:szCs w:val="24"/>
              </w:rPr>
              <w:t>Председатель комиссии</w:t>
            </w:r>
          </w:p>
        </w:tc>
        <w:tc>
          <w:tcPr>
            <w:tcW w:w="3319" w:type="dxa"/>
            <w:tcBorders>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right"/>
              <w:rPr>
                <w:sz w:val="24"/>
                <w:szCs w:val="24"/>
                <w:lang w:val="en-US"/>
              </w:rPr>
            </w:pPr>
            <w:r>
              <w:rPr>
                <w:sz w:val="24"/>
                <w:szCs w:val="24"/>
                <w:lang w:val="en-US"/>
              </w:rPr>
              <w:t>(</w:t>
            </w:r>
          </w:p>
        </w:tc>
        <w:tc>
          <w:tcPr>
            <w:tcW w:w="3980" w:type="dxa"/>
            <w:tcBorders>
              <w:bottom w:val="single" w:color="auto" w:sz="4" w:space="0"/>
            </w:tcBorders>
          </w:tcPr>
          <w:p>
            <w:pPr>
              <w:pStyle w:val="43"/>
              <w:widowControl w:val="0"/>
              <w:spacing w:before="0" w:after="0" w:line="240" w:lineRule="auto"/>
              <w:rPr>
                <w:sz w:val="24"/>
                <w:szCs w:val="24"/>
                <w:u w:val="single"/>
                <w:lang w:val="en-US"/>
              </w:rPr>
            </w:pPr>
          </w:p>
        </w:tc>
        <w:tc>
          <w:tcPr>
            <w:tcW w:w="296" w:type="dxa"/>
          </w:tcPr>
          <w:p>
            <w:pPr>
              <w:pStyle w:val="43"/>
              <w:widowControl w:val="0"/>
              <w:spacing w:before="0" w:after="0" w:line="240" w:lineRule="auto"/>
              <w:jc w:val="left"/>
              <w:rPr>
                <w:sz w:val="24"/>
                <w:szCs w:val="24"/>
                <w:lang w:val="en-US"/>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r>
              <w:rPr>
                <w:sz w:val="24"/>
                <w:szCs w:val="24"/>
              </w:rPr>
              <w:t>Члены комиссии:</w:t>
            </w: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righ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righ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righ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bl>
    <w:p>
      <w:pPr>
        <w:pStyle w:val="44"/>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1.3.8. Акт о расконсервации объектов основных средств</w:t>
      </w:r>
    </w:p>
    <w:p>
      <w:pPr>
        <w:pStyle w:val="44"/>
        <w:rPr>
          <w:rFonts w:ascii="Times New Roman" w:hAnsi="Times New Roman" w:cs="Times New Roman"/>
          <w:sz w:val="24"/>
          <w:szCs w:val="24"/>
        </w:rPr>
      </w:pPr>
    </w:p>
    <w:tbl>
      <w:tblPr>
        <w:tblStyle w:val="29"/>
        <w:tblW w:w="3810" w:type="dxa"/>
        <w:tblInd w:w="0" w:type="dxa"/>
        <w:tblLayout w:type="fixed"/>
        <w:tblCellMar>
          <w:top w:w="0" w:type="dxa"/>
          <w:left w:w="108" w:type="dxa"/>
          <w:bottom w:w="0" w:type="dxa"/>
          <w:right w:w="108" w:type="dxa"/>
        </w:tblCellMar>
      </w:tblPr>
      <w:tblGrid>
        <w:gridCol w:w="3810"/>
      </w:tblGrid>
      <w:tr>
        <w:tblPrEx>
          <w:tblLayout w:type="fixed"/>
          <w:tblCellMar>
            <w:top w:w="0" w:type="dxa"/>
            <w:left w:w="108" w:type="dxa"/>
            <w:bottom w:w="0" w:type="dxa"/>
            <w:right w:w="108" w:type="dxa"/>
          </w:tblCellMar>
        </w:tblPrEx>
        <w:tc>
          <w:tcPr>
            <w:tcW w:w="3810" w:type="dxa"/>
            <w:tcBorders>
              <w:top w:val="nil"/>
              <w:left w:val="nil"/>
              <w:bottom w:val="single" w:color="auto" w:sz="2" w:space="0"/>
              <w:right w:val="nil"/>
            </w:tcBorders>
          </w:tcPr>
          <w:p>
            <w:pPr>
              <w:pStyle w:val="43"/>
              <w:widowControl w:val="0"/>
              <w:spacing w:before="0" w:after="0" w:line="240" w:lineRule="auto"/>
              <w:jc w:val="center"/>
              <w:rPr>
                <w:sz w:val="24"/>
                <w:szCs w:val="24"/>
              </w:rPr>
            </w:pPr>
          </w:p>
        </w:tc>
      </w:tr>
      <w:tr>
        <w:tblPrEx>
          <w:tblLayout w:type="fixed"/>
          <w:tblCellMar>
            <w:top w:w="0" w:type="dxa"/>
            <w:left w:w="108" w:type="dxa"/>
            <w:bottom w:w="0" w:type="dxa"/>
            <w:right w:w="108" w:type="dxa"/>
          </w:tblCellMar>
        </w:tblPrEx>
        <w:tc>
          <w:tcPr>
            <w:tcW w:w="3810" w:type="dxa"/>
            <w:tcBorders>
              <w:top w:val="single" w:color="auto" w:sz="2" w:space="0"/>
              <w:left w:val="nil"/>
              <w:bottom w:val="nil"/>
              <w:right w:val="nil"/>
            </w:tcBorders>
          </w:tcPr>
          <w:p>
            <w:pPr>
              <w:pStyle w:val="43"/>
              <w:widowControl w:val="0"/>
              <w:spacing w:before="0" w:after="0" w:line="240" w:lineRule="auto"/>
              <w:jc w:val="center"/>
              <w:rPr>
                <w:sz w:val="24"/>
                <w:szCs w:val="24"/>
              </w:rPr>
            </w:pPr>
            <w:r>
              <w:rPr>
                <w:sz w:val="24"/>
                <w:szCs w:val="24"/>
              </w:rPr>
              <w:t>(наименование организации)</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pStyle w:val="43"/>
              <w:widowControl w:val="0"/>
              <w:spacing w:before="0" w:after="0" w:line="240" w:lineRule="auto"/>
              <w:jc w:val="right"/>
              <w:rPr>
                <w:sz w:val="24"/>
                <w:szCs w:val="24"/>
              </w:rPr>
            </w:pPr>
            <w:r>
              <w:rPr>
                <w:sz w:val="24"/>
                <w:szCs w:val="24"/>
              </w:rPr>
              <w:t>УТВЕРЖДАЮ</w:t>
            </w:r>
          </w:p>
          <w:p>
            <w:pPr>
              <w:pStyle w:val="43"/>
              <w:widowControl w:val="0"/>
              <w:spacing w:before="0" w:after="0" w:line="240" w:lineRule="auto"/>
              <w:jc w:val="right"/>
              <w:rPr>
                <w:sz w:val="24"/>
                <w:szCs w:val="24"/>
                <w:lang w:val="en-US"/>
              </w:rPr>
            </w:pPr>
            <w:r>
              <w:rPr>
                <w:sz w:val="24"/>
                <w:szCs w:val="24"/>
              </w:rPr>
              <w:t>Руководитель организации</w:t>
            </w:r>
          </w:p>
          <w:p>
            <w:pPr>
              <w:pStyle w:val="43"/>
              <w:widowControl w:val="0"/>
              <w:spacing w:before="0" w:after="0" w:line="240" w:lineRule="auto"/>
              <w:jc w:val="right"/>
              <w:rPr>
                <w:sz w:val="24"/>
                <w:szCs w:val="24"/>
                <w:u w:val="single"/>
              </w:rPr>
            </w:pPr>
            <w:r>
              <w:rPr>
                <w:sz w:val="24"/>
                <w:szCs w:val="24"/>
              </w:rPr>
              <w:t>____________________________</w:t>
            </w:r>
          </w:p>
          <w:p>
            <w:pPr>
              <w:pStyle w:val="43"/>
              <w:widowControl w:val="0"/>
              <w:spacing w:before="0" w:after="0" w:line="240" w:lineRule="auto"/>
              <w:jc w:val="right"/>
              <w:rPr>
                <w:sz w:val="24"/>
                <w:szCs w:val="24"/>
              </w:rPr>
            </w:pPr>
            <w:r>
              <w:rPr>
                <w:sz w:val="24"/>
                <w:szCs w:val="24"/>
              </w:rPr>
              <w:t>«__» _________________ 20__ г.</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5925"/>
        <w:gridCol w:w="2154"/>
        <w:gridCol w:w="2154"/>
        <w:gridCol w:w="539"/>
      </w:tblGrid>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widowControl w:val="0"/>
              <w:spacing w:after="0" w:line="240" w:lineRule="auto"/>
              <w:rPr>
                <w:rFonts w:ascii="Times New Roman" w:hAnsi="Times New Roman"/>
                <w:sz w:val="24"/>
                <w:szCs w:val="24"/>
              </w:rPr>
            </w:pP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r>
              <w:rPr>
                <w:sz w:val="24"/>
                <w:szCs w:val="24"/>
              </w:rPr>
              <w:t>Номер</w:t>
            </w:r>
            <w:r>
              <w:rPr>
                <w:sz w:val="24"/>
                <w:szCs w:val="24"/>
              </w:rPr>
              <w:br w:type="textWrapping"/>
            </w:r>
            <w:r>
              <w:rPr>
                <w:sz w:val="24"/>
                <w:szCs w:val="24"/>
              </w:rPr>
              <w:t>документа</w:t>
            </w: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r>
              <w:rPr>
                <w:sz w:val="24"/>
                <w:szCs w:val="24"/>
              </w:rPr>
              <w:t>Дата</w:t>
            </w:r>
            <w:r>
              <w:rPr>
                <w:sz w:val="24"/>
                <w:szCs w:val="24"/>
              </w:rPr>
              <w:br w:type="textWrapping"/>
            </w:r>
            <w:r>
              <w:rPr>
                <w:sz w:val="24"/>
                <w:szCs w:val="24"/>
              </w:rPr>
              <w:t>составления</w:t>
            </w:r>
          </w:p>
        </w:tc>
        <w:tc>
          <w:tcPr>
            <w:tcW w:w="539" w:type="dxa"/>
            <w:tcBorders>
              <w:top w:val="nil"/>
              <w:left w:val="single" w:color="auto" w:sz="2" w:space="0"/>
              <w:bottom w:val="nil"/>
              <w:right w:val="nil"/>
            </w:tcBorders>
          </w:tcPr>
          <w:p>
            <w:pPr>
              <w:pStyle w:val="43"/>
              <w:widowControl w:val="0"/>
              <w:spacing w:before="0" w:after="0" w:line="240" w:lineRule="auto"/>
              <w:jc w:val="left"/>
              <w:rPr>
                <w:sz w:val="24"/>
                <w:szCs w:val="24"/>
              </w:rPr>
            </w:pPr>
            <w:r>
              <w:rPr>
                <w:sz w:val="24"/>
                <w:szCs w:val="24"/>
              </w:rPr>
              <w:t xml:space="preserve"> </w:t>
            </w:r>
          </w:p>
        </w:tc>
      </w:tr>
      <w:tr>
        <w:tblPrEx>
          <w:tblLayout w:type="fixed"/>
          <w:tblCellMar>
            <w:top w:w="0" w:type="dxa"/>
            <w:left w:w="108" w:type="dxa"/>
            <w:bottom w:w="0" w:type="dxa"/>
            <w:right w:w="108" w:type="dxa"/>
          </w:tblCellMar>
        </w:tblPrEx>
        <w:tc>
          <w:tcPr>
            <w:tcW w:w="5925" w:type="dxa"/>
            <w:tcBorders>
              <w:top w:val="nil"/>
              <w:left w:val="nil"/>
              <w:bottom w:val="nil"/>
              <w:right w:val="single" w:color="auto" w:sz="2" w:space="0"/>
            </w:tcBorders>
          </w:tcPr>
          <w:p>
            <w:pPr>
              <w:pStyle w:val="43"/>
              <w:widowControl w:val="0"/>
              <w:spacing w:before="0" w:after="0" w:line="240" w:lineRule="auto"/>
              <w:jc w:val="center"/>
              <w:rPr>
                <w:sz w:val="24"/>
                <w:szCs w:val="24"/>
              </w:rPr>
            </w:pP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p>
        </w:tc>
        <w:tc>
          <w:tcPr>
            <w:tcW w:w="2154" w:type="dxa"/>
            <w:tcBorders>
              <w:top w:val="single" w:color="auto" w:sz="2" w:space="0"/>
              <w:left w:val="single" w:color="auto" w:sz="2" w:space="0"/>
              <w:bottom w:val="single" w:color="auto" w:sz="2" w:space="0"/>
              <w:right w:val="single" w:color="auto" w:sz="2" w:space="0"/>
            </w:tcBorders>
          </w:tcPr>
          <w:p>
            <w:pPr>
              <w:pStyle w:val="43"/>
              <w:widowControl w:val="0"/>
              <w:spacing w:before="0" w:after="0" w:line="240" w:lineRule="auto"/>
              <w:jc w:val="center"/>
              <w:rPr>
                <w:sz w:val="24"/>
                <w:szCs w:val="24"/>
              </w:rPr>
            </w:pPr>
          </w:p>
        </w:tc>
        <w:tc>
          <w:tcPr>
            <w:tcW w:w="539" w:type="dxa"/>
            <w:tcBorders>
              <w:top w:val="nil"/>
              <w:left w:val="single" w:color="auto" w:sz="2" w:space="0"/>
              <w:bottom w:val="nil"/>
              <w:right w:val="nil"/>
            </w:tcBorders>
          </w:tcPr>
          <w:p>
            <w:pPr>
              <w:pStyle w:val="43"/>
              <w:widowControl w:val="0"/>
              <w:spacing w:before="0" w:after="0" w:line="240" w:lineRule="auto"/>
              <w:jc w:val="left"/>
              <w:rPr>
                <w:sz w:val="24"/>
                <w:szCs w:val="24"/>
              </w:rPr>
            </w:pPr>
            <w:r>
              <w:rPr>
                <w:sz w:val="24"/>
                <w:szCs w:val="24"/>
              </w:rPr>
              <w:t xml:space="preserve"> </w:t>
            </w:r>
          </w:p>
        </w:tc>
      </w:tr>
    </w:tbl>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10772"/>
      </w:tblGrid>
      <w:tr>
        <w:tblPrEx>
          <w:tblLayout w:type="fixed"/>
          <w:tblCellMar>
            <w:top w:w="0" w:type="dxa"/>
            <w:left w:w="108" w:type="dxa"/>
            <w:bottom w:w="0" w:type="dxa"/>
            <w:right w:w="108" w:type="dxa"/>
          </w:tblCellMar>
        </w:tblPrEx>
        <w:tc>
          <w:tcPr>
            <w:tcW w:w="10772" w:type="dxa"/>
          </w:tcPr>
          <w:p>
            <w:pPr>
              <w:pStyle w:val="43"/>
              <w:widowControl w:val="0"/>
              <w:spacing w:before="0" w:after="0" w:line="240" w:lineRule="auto"/>
              <w:jc w:val="center"/>
              <w:rPr>
                <w:sz w:val="24"/>
                <w:szCs w:val="24"/>
              </w:rPr>
            </w:pPr>
            <w:r>
              <w:rPr>
                <w:sz w:val="24"/>
                <w:szCs w:val="24"/>
              </w:rPr>
              <w:t>АКТ</w:t>
            </w:r>
          </w:p>
          <w:p>
            <w:pPr>
              <w:pStyle w:val="43"/>
              <w:widowControl w:val="0"/>
              <w:spacing w:before="0" w:after="0" w:line="240" w:lineRule="auto"/>
              <w:jc w:val="center"/>
              <w:rPr>
                <w:sz w:val="24"/>
                <w:szCs w:val="24"/>
              </w:rPr>
            </w:pPr>
            <w:r>
              <w:rPr>
                <w:sz w:val="24"/>
                <w:szCs w:val="24"/>
              </w:rPr>
              <w:t>о расконсервации объектов основных средств</w:t>
            </w:r>
          </w:p>
        </w:tc>
      </w:tr>
    </w:tbl>
    <w:p>
      <w:pPr>
        <w:widowControl w:val="0"/>
        <w:spacing w:after="0" w:line="240" w:lineRule="auto"/>
        <w:rPr>
          <w:rFonts w:ascii="Times New Roman" w:hAnsi="Times New Roman"/>
          <w:sz w:val="24"/>
          <w:szCs w:val="24"/>
        </w:rPr>
      </w:pPr>
    </w:p>
    <w:p>
      <w:pPr>
        <w:widowControl w:val="0"/>
        <w:spacing w:after="0" w:line="240" w:lineRule="auto"/>
        <w:rPr>
          <w:rFonts w:ascii="Times New Roman" w:hAnsi="Times New Roman"/>
          <w:sz w:val="24"/>
          <w:szCs w:val="24"/>
        </w:rPr>
      </w:pPr>
      <w:r>
        <w:rPr>
          <w:rFonts w:ascii="Times New Roman" w:hAnsi="Times New Roman"/>
          <w:sz w:val="24"/>
          <w:szCs w:val="24"/>
        </w:rPr>
        <w:t xml:space="preserve">На основании приказа руководителя от «__» _________________ 20__ г. </w:t>
      </w:r>
      <w:r>
        <w:rPr>
          <w:rFonts w:ascii="Times New Roman" w:hAnsi="Times New Roman"/>
          <w:sz w:val="24"/>
          <w:szCs w:val="24"/>
          <w:lang w:val="ru-RU"/>
        </w:rPr>
        <w:t>№</w:t>
      </w:r>
      <w:r>
        <w:rPr>
          <w:rFonts w:ascii="Times New Roman" w:hAnsi="Times New Roman"/>
          <w:sz w:val="24"/>
          <w:szCs w:val="24"/>
        </w:rPr>
        <w:t xml:space="preserve"> ____ о переводе основных средств на консервацию «__» _________________ 20__ г. проведена расконсервация объекта (ов) основных средств.</w:t>
      </w:r>
    </w:p>
    <w:p>
      <w:pPr>
        <w:widowControl w:val="0"/>
        <w:spacing w:after="0" w:line="240" w:lineRule="auto"/>
        <w:rPr>
          <w:rFonts w:ascii="Times New Roman" w:hAnsi="Times New Roman"/>
          <w:sz w:val="24"/>
          <w:szCs w:val="24"/>
        </w:rPr>
      </w:pPr>
    </w:p>
    <w:p>
      <w:pPr>
        <w:widowControl w:val="0"/>
        <w:spacing w:after="0" w:line="240" w:lineRule="auto"/>
        <w:rPr>
          <w:rFonts w:ascii="Times New Roman" w:hAnsi="Times New Roman"/>
          <w:sz w:val="24"/>
          <w:szCs w:val="24"/>
        </w:rPr>
      </w:pPr>
      <w:r>
        <w:rPr>
          <w:rFonts w:ascii="Times New Roman" w:hAnsi="Times New Roman"/>
          <w:sz w:val="24"/>
          <w:szCs w:val="24"/>
        </w:rPr>
        <w:t>1. Общие сведения об объекте (ах)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14"/>
        <w:gridCol w:w="2614"/>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Наименование/инвентарный номер</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Год выпуска (постройки)</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Дата принятия к бухгалтерскому учету</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Фактический срок эксплуатации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2. Сведения о стоимости объекта(ов) основных средств на дату расконсервации</w:t>
      </w:r>
    </w:p>
    <w:p>
      <w:pPr>
        <w:pStyle w:val="44"/>
        <w:rPr>
          <w:rFonts w:ascii="Times New Roman" w:hAnsi="Times New Roman" w:cs="Times New Roman"/>
          <w:sz w:val="24"/>
          <w:szCs w:val="24"/>
        </w:rPr>
      </w:pPr>
    </w:p>
    <w:tbl>
      <w:tblPr>
        <w:tblStyle w:val="29"/>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726"/>
        <w:gridCol w:w="1652"/>
        <w:gridCol w:w="1702"/>
        <w:gridCol w:w="1570"/>
        <w:gridCol w:w="140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726"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Наименование/инвентарный номер</w:t>
            </w:r>
          </w:p>
        </w:tc>
        <w:tc>
          <w:tcPr>
            <w:tcW w:w="1652" w:type="dxa"/>
            <w:tcBorders>
              <w:top w:val="single" w:color="auto" w:sz="6" w:space="0"/>
              <w:left w:val="single" w:color="auto" w:sz="6" w:space="0"/>
              <w:bottom w:val="single" w:color="auto" w:sz="6" w:space="0"/>
              <w:right w:val="single" w:color="auto" w:sz="6" w:space="0"/>
            </w:tcBorders>
          </w:tcPr>
          <w:p>
            <w:pPr>
              <w:pStyle w:val="45"/>
              <w:autoSpaceDE/>
              <w:jc w:val="center"/>
            </w:pPr>
            <w:r>
              <w:t>Первоначальная стоимость, руб.</w:t>
            </w:r>
          </w:p>
        </w:tc>
        <w:tc>
          <w:tcPr>
            <w:tcW w:w="1702" w:type="dxa"/>
            <w:tcBorders>
              <w:top w:val="single" w:color="auto" w:sz="6" w:space="0"/>
              <w:left w:val="single" w:color="auto" w:sz="6" w:space="0"/>
              <w:bottom w:val="single" w:color="auto" w:sz="6" w:space="0"/>
              <w:right w:val="single" w:color="auto" w:sz="6" w:space="0"/>
            </w:tcBorders>
          </w:tcPr>
          <w:p>
            <w:pPr>
              <w:pStyle w:val="45"/>
              <w:autoSpaceDE/>
              <w:jc w:val="center"/>
            </w:pPr>
            <w:r>
              <w:t>Ликвидационная стоимость, руб.</w:t>
            </w:r>
          </w:p>
        </w:tc>
        <w:tc>
          <w:tcPr>
            <w:tcW w:w="1570" w:type="dxa"/>
            <w:tcBorders>
              <w:top w:val="single" w:color="auto" w:sz="6" w:space="0"/>
              <w:left w:val="single" w:color="auto" w:sz="6" w:space="0"/>
              <w:bottom w:val="single" w:color="auto" w:sz="6" w:space="0"/>
              <w:right w:val="single" w:color="auto" w:sz="6" w:space="0"/>
            </w:tcBorders>
          </w:tcPr>
          <w:p>
            <w:pPr>
              <w:pStyle w:val="45"/>
              <w:autoSpaceDE/>
              <w:jc w:val="center"/>
            </w:pPr>
            <w:r>
              <w:t>Срок полезного использования, мес.</w:t>
            </w:r>
          </w:p>
        </w:tc>
        <w:tc>
          <w:tcPr>
            <w:tcW w:w="1401" w:type="dxa"/>
            <w:tcBorders>
              <w:top w:val="single" w:color="auto" w:sz="6" w:space="0"/>
              <w:left w:val="single" w:color="auto" w:sz="6" w:space="0"/>
              <w:bottom w:val="single" w:color="auto" w:sz="6" w:space="0"/>
              <w:right w:val="single" w:color="auto" w:sz="6" w:space="0"/>
            </w:tcBorders>
          </w:tcPr>
          <w:p>
            <w:pPr>
              <w:pStyle w:val="45"/>
              <w:autoSpaceDE/>
              <w:jc w:val="center"/>
            </w:pPr>
            <w:r>
              <w:t>Сумма накопленной амортизации, руб.</w:t>
            </w:r>
          </w:p>
        </w:tc>
        <w:tc>
          <w:tcPr>
            <w:tcW w:w="1210" w:type="dxa"/>
            <w:tcBorders>
              <w:top w:val="single" w:color="auto" w:sz="6" w:space="0"/>
              <w:left w:val="single" w:color="auto" w:sz="6" w:space="0"/>
              <w:bottom w:val="single" w:color="auto" w:sz="6" w:space="0"/>
              <w:right w:val="single" w:color="auto" w:sz="6" w:space="0"/>
            </w:tcBorders>
          </w:tcPr>
          <w:p>
            <w:pPr>
              <w:pStyle w:val="45"/>
              <w:autoSpaceDE/>
              <w:jc w:val="center"/>
            </w:pPr>
            <w:r>
              <w:t>Балансовая 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726"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1652"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1702"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1570"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1401"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1210"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7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6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7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1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7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6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7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1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7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6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7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1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7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65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0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7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0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10"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3. Сведения о техническом состоянии и технических характеристиках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42"/>
        <w:gridCol w:w="1743"/>
        <w:gridCol w:w="1743"/>
        <w:gridCol w:w="1742"/>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1742"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Наименование/инвентарный номер</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Техническое состояние на дату перевода на расконсервацию</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Масса объекта</w:t>
            </w:r>
          </w:p>
        </w:tc>
        <w:tc>
          <w:tcPr>
            <w:tcW w:w="1742" w:type="dxa"/>
            <w:tcBorders>
              <w:top w:val="single" w:color="auto" w:sz="6" w:space="0"/>
              <w:left w:val="single" w:color="auto" w:sz="6" w:space="0"/>
              <w:bottom w:val="single" w:color="auto" w:sz="6" w:space="0"/>
              <w:right w:val="single" w:color="auto" w:sz="6" w:space="0"/>
            </w:tcBorders>
          </w:tcPr>
          <w:p>
            <w:pPr>
              <w:pStyle w:val="45"/>
              <w:autoSpaceDE/>
              <w:jc w:val="center"/>
            </w:pPr>
            <w:r>
              <w:t>Производительность (грузоподъемность)</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Дата последнего капитального ремонта</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1742"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1742"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1743"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2"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743"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4. Сведения о расконсервации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14"/>
        <w:gridCol w:w="2614"/>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Наименование/инвентарный номер</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Причины расконсервации</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Дата ввода в эксплуатацию после расконсервации</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Эксплуатирующее подразделение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2614"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614"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5. Сведения о произведенных работах и затратах на расконсервацию объекта(ов) основных средств</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35"/>
        <w:gridCol w:w="423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center"/>
            </w:pPr>
            <w:r>
              <w:t>Вид работы</w:t>
            </w:r>
          </w:p>
        </w:tc>
        <w:tc>
          <w:tcPr>
            <w:tcW w:w="4236" w:type="dxa"/>
            <w:tcBorders>
              <w:top w:val="single" w:color="auto" w:sz="6" w:space="0"/>
              <w:left w:val="single" w:color="auto" w:sz="6" w:space="0"/>
              <w:bottom w:val="single" w:color="auto" w:sz="6" w:space="0"/>
              <w:right w:val="single" w:color="auto" w:sz="6" w:space="0"/>
            </w:tcBorders>
          </w:tcPr>
          <w:p>
            <w:pPr>
              <w:pStyle w:val="45"/>
              <w:autoSpaceDE/>
              <w:jc w:val="center"/>
            </w:pPr>
            <w:r>
              <w:t>Первичный документ, номер, дата</w:t>
            </w:r>
          </w:p>
        </w:tc>
        <w:tc>
          <w:tcPr>
            <w:tcW w:w="3402" w:type="dxa"/>
            <w:tcBorders>
              <w:top w:val="single" w:color="auto" w:sz="6" w:space="0"/>
              <w:left w:val="single" w:color="auto" w:sz="6" w:space="0"/>
              <w:bottom w:val="single" w:color="auto" w:sz="6" w:space="0"/>
              <w:right w:val="single" w:color="auto" w:sz="6" w:space="0"/>
            </w:tcBorders>
          </w:tcPr>
          <w:p>
            <w:pPr>
              <w:pStyle w:val="45"/>
              <w:autoSpaceDE/>
              <w:jc w:val="center"/>
            </w:pPr>
            <w: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4236"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3402"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r>
              <w:t>Наименование объекта/инвентарный номер</w:t>
            </w: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1.3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2835" w:type="dxa"/>
            <w:tcBorders>
              <w:top w:val="single" w:color="auto" w:sz="6" w:space="0"/>
              <w:left w:val="single" w:color="auto" w:sz="6" w:space="0"/>
              <w:bottom w:val="single" w:color="auto" w:sz="6" w:space="0"/>
              <w:right w:val="single" w:color="auto" w:sz="6" w:space="0"/>
            </w:tcBorders>
          </w:tcPr>
          <w:p>
            <w:pPr>
              <w:pStyle w:val="45"/>
              <w:autoSpaceDE/>
            </w:pPr>
            <w:r>
              <w:t>Наименование объекта/инвентарный номер</w:t>
            </w: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2.3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2835" w:type="dxa"/>
            <w:tcBorders>
              <w:top w:val="single" w:color="auto" w:sz="6" w:space="0"/>
              <w:left w:val="single" w:color="auto" w:sz="6" w:space="0"/>
              <w:bottom w:val="single" w:color="auto" w:sz="6" w:space="0"/>
              <w:right w:val="single" w:color="auto" w:sz="6" w:space="0"/>
            </w:tcBorders>
          </w:tcPr>
          <w:p>
            <w:pPr>
              <w:pStyle w:val="45"/>
              <w:autoSpaceDE/>
            </w:pPr>
            <w:r>
              <w:t>Наименование объекта/инвентарный номер</w:t>
            </w: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3.1</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3.2</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3.3</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center"/>
            </w:pPr>
            <w:r>
              <w:t>...</w:t>
            </w:r>
          </w:p>
        </w:tc>
        <w:tc>
          <w:tcPr>
            <w:tcW w:w="283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071" w:type="dxa"/>
            <w:gridSpan w:val="2"/>
            <w:tcBorders>
              <w:top w:val="single" w:color="auto" w:sz="6" w:space="0"/>
              <w:left w:val="single" w:color="auto" w:sz="6" w:space="0"/>
              <w:bottom w:val="single" w:color="auto" w:sz="6" w:space="0"/>
              <w:right w:val="single" w:color="auto" w:sz="6" w:space="0"/>
            </w:tcBorders>
          </w:tcPr>
          <w:p>
            <w:pPr>
              <w:pStyle w:val="45"/>
              <w:autoSpaceDE/>
              <w:jc w:val="right"/>
            </w:pPr>
            <w:r>
              <w:t>Итого</w:t>
            </w:r>
          </w:p>
        </w:tc>
        <w:tc>
          <w:tcPr>
            <w:tcW w:w="3402"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widowControl w:val="0"/>
        <w:spacing w:after="0" w:line="240" w:lineRule="auto"/>
        <w:rPr>
          <w:rFonts w:ascii="Times New Roman" w:hAnsi="Times New Roman"/>
          <w:sz w:val="24"/>
          <w:szCs w:val="24"/>
        </w:rPr>
      </w:pPr>
      <w:r>
        <w:rPr>
          <w:rFonts w:ascii="Times New Roman" w:hAnsi="Times New Roman"/>
          <w:sz w:val="24"/>
          <w:szCs w:val="24"/>
        </w:rPr>
        <w:t>Заключение комиссии:</w:t>
      </w:r>
    </w:p>
    <w:p>
      <w:pPr>
        <w:widowControl w:val="0"/>
        <w:spacing w:after="0" w:line="240" w:lineRule="auto"/>
        <w:jc w:val="both"/>
        <w:rPr>
          <w:rFonts w:ascii="Times New Roman" w:hAnsi="Times New Roman"/>
          <w:sz w:val="24"/>
          <w:szCs w:val="24"/>
        </w:rPr>
      </w:pPr>
      <w:r>
        <w:rPr>
          <w:rFonts w:ascii="Times New Roman" w:hAnsi="Times New Roman"/>
          <w:sz w:val="24"/>
          <w:szCs w:val="24"/>
        </w:rPr>
        <w:t>Предусмотренные техническими инструкциями мероприятия по расконсервации проведены (</w:t>
      </w:r>
      <w:r>
        <w:rPr>
          <w:rFonts w:ascii="Times New Roman" w:hAnsi="Times New Roman"/>
          <w:i/>
          <w:sz w:val="24"/>
          <w:szCs w:val="24"/>
        </w:rPr>
        <w:t>выбрать нужное</w:t>
      </w:r>
      <w:r>
        <w:rPr>
          <w:rFonts w:ascii="Times New Roman" w:hAnsi="Times New Roman"/>
          <w:sz w:val="24"/>
          <w:szCs w:val="24"/>
        </w:rPr>
        <w:t>):</w:t>
      </w:r>
    </w:p>
    <w:p>
      <w:pPr>
        <w:widowControl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полностью;</w:t>
      </w:r>
    </w:p>
    <w:p>
      <w:pPr>
        <w:widowControl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не полностью </w:t>
      </w:r>
      <w:r>
        <w:rPr>
          <w:rFonts w:ascii="Times New Roman" w:hAnsi="Times New Roman"/>
          <w:sz w:val="24"/>
          <w:szCs w:val="24"/>
        </w:rPr>
        <w:t>___________________________________________________________________________</w:t>
      </w:r>
    </w:p>
    <w:p>
      <w:pPr>
        <w:widowControl w:val="0"/>
        <w:spacing w:after="0" w:line="240" w:lineRule="auto"/>
        <w:ind w:left="1701"/>
        <w:jc w:val="center"/>
        <w:rPr>
          <w:rFonts w:ascii="Times New Roman" w:hAnsi="Times New Roman"/>
          <w:sz w:val="24"/>
          <w:szCs w:val="24"/>
        </w:rPr>
      </w:pPr>
      <w:r>
        <w:rPr>
          <w:rFonts w:ascii="Times New Roman" w:hAnsi="Times New Roman"/>
          <w:i/>
          <w:sz w:val="24"/>
          <w:szCs w:val="24"/>
        </w:rPr>
        <w:t>(указать, что именно не выполнено)</w:t>
      </w:r>
      <w:r>
        <w:rPr>
          <w:rFonts w:ascii="Times New Roman" w:hAnsi="Times New Roman"/>
          <w:sz w:val="24"/>
          <w:szCs w:val="24"/>
        </w:rPr>
        <w:t>.</w:t>
      </w:r>
    </w:p>
    <w:p>
      <w:pPr>
        <w:widowControl w:val="0"/>
        <w:spacing w:after="0" w:line="240" w:lineRule="auto"/>
        <w:jc w:val="both"/>
        <w:rPr>
          <w:rFonts w:ascii="Times New Roman" w:hAnsi="Times New Roman"/>
          <w:sz w:val="24"/>
          <w:szCs w:val="24"/>
        </w:rPr>
      </w:pPr>
      <w:r>
        <w:rPr>
          <w:rFonts w:ascii="Times New Roman" w:hAnsi="Times New Roman"/>
          <w:sz w:val="24"/>
          <w:szCs w:val="24"/>
        </w:rPr>
        <w:t>По окончании работ по расконсервации объект(ы) прошел(шли) испытания и введен(ы) в эксплуатацию.</w:t>
      </w:r>
    </w:p>
    <w:p>
      <w:pPr>
        <w:widowControl w:val="0"/>
        <w:spacing w:after="0" w:line="240" w:lineRule="auto"/>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2881"/>
        <w:gridCol w:w="3319"/>
        <w:gridCol w:w="296"/>
        <w:gridCol w:w="3980"/>
        <w:gridCol w:w="296"/>
      </w:tblGrid>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r>
              <w:rPr>
                <w:sz w:val="24"/>
                <w:szCs w:val="24"/>
              </w:rPr>
              <w:t>Председатель комиссии</w:t>
            </w:r>
          </w:p>
        </w:tc>
        <w:tc>
          <w:tcPr>
            <w:tcW w:w="3319" w:type="dxa"/>
            <w:tcBorders>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rPr>
                <w:sz w:val="24"/>
                <w:szCs w:val="24"/>
                <w:lang w:val="en-US"/>
              </w:rPr>
            </w:pPr>
            <w:r>
              <w:rPr>
                <w:sz w:val="24"/>
                <w:szCs w:val="24"/>
                <w:lang w:val="en-US"/>
              </w:rPr>
              <w:t>(</w:t>
            </w:r>
          </w:p>
        </w:tc>
        <w:tc>
          <w:tcPr>
            <w:tcW w:w="3980" w:type="dxa"/>
            <w:tcBorders>
              <w:bottom w:val="single" w:color="auto" w:sz="4" w:space="0"/>
            </w:tcBorders>
          </w:tcPr>
          <w:p>
            <w:pPr>
              <w:pStyle w:val="43"/>
              <w:widowControl w:val="0"/>
              <w:spacing w:before="0" w:after="0" w:line="240" w:lineRule="auto"/>
              <w:rPr>
                <w:sz w:val="24"/>
                <w:szCs w:val="24"/>
                <w:u w:val="single"/>
                <w:lang w:val="en-US"/>
              </w:rPr>
            </w:pPr>
          </w:p>
        </w:tc>
        <w:tc>
          <w:tcPr>
            <w:tcW w:w="296" w:type="dxa"/>
          </w:tcPr>
          <w:p>
            <w:pPr>
              <w:pStyle w:val="43"/>
              <w:widowControl w:val="0"/>
              <w:spacing w:before="0" w:after="0" w:line="240" w:lineRule="auto"/>
              <w:rPr>
                <w:sz w:val="24"/>
                <w:szCs w:val="24"/>
                <w:lang w:val="en-US"/>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r>
              <w:rPr>
                <w:sz w:val="24"/>
                <w:szCs w:val="24"/>
              </w:rPr>
              <w:t>Члены комиссии:</w:t>
            </w: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lef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lef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r>
        <w:tblPrEx>
          <w:tblLayout w:type="fixed"/>
          <w:tblCellMar>
            <w:top w:w="0" w:type="dxa"/>
            <w:left w:w="108" w:type="dxa"/>
            <w:bottom w:w="0" w:type="dxa"/>
            <w:right w:w="108" w:type="dxa"/>
          </w:tblCellMar>
        </w:tblPrEx>
        <w:tc>
          <w:tcPr>
            <w:tcW w:w="2881" w:type="dxa"/>
          </w:tcPr>
          <w:p>
            <w:pPr>
              <w:pStyle w:val="43"/>
              <w:widowControl w:val="0"/>
              <w:spacing w:before="0" w:after="0" w:line="240" w:lineRule="auto"/>
              <w:jc w:val="left"/>
              <w:rPr>
                <w:sz w:val="24"/>
                <w:szCs w:val="24"/>
              </w:rPr>
            </w:pPr>
          </w:p>
        </w:tc>
        <w:tc>
          <w:tcPr>
            <w:tcW w:w="3319" w:type="dxa"/>
            <w:tcBorders>
              <w:top w:val="single" w:color="auto" w:sz="4" w:space="0"/>
              <w:bottom w:val="single" w:color="auto" w:sz="4" w:space="0"/>
            </w:tcBorders>
          </w:tcPr>
          <w:p>
            <w:pPr>
              <w:pStyle w:val="43"/>
              <w:widowControl w:val="0"/>
              <w:spacing w:before="0" w:after="0" w:line="240" w:lineRule="auto"/>
              <w:jc w:val="left"/>
              <w:rPr>
                <w:sz w:val="24"/>
                <w:szCs w:val="24"/>
                <w:u w:val="single"/>
              </w:rPr>
            </w:pPr>
          </w:p>
        </w:tc>
        <w:tc>
          <w:tcPr>
            <w:tcW w:w="296" w:type="dxa"/>
          </w:tcPr>
          <w:p>
            <w:pPr>
              <w:pStyle w:val="43"/>
              <w:widowControl w:val="0"/>
              <w:spacing w:before="0" w:after="0" w:line="240" w:lineRule="auto"/>
              <w:jc w:val="left"/>
              <w:rPr>
                <w:sz w:val="24"/>
                <w:szCs w:val="24"/>
              </w:rPr>
            </w:pPr>
            <w:r>
              <w:rPr>
                <w:sz w:val="24"/>
                <w:szCs w:val="24"/>
                <w:lang w:val="en-US"/>
              </w:rPr>
              <w:t>(</w:t>
            </w:r>
          </w:p>
        </w:tc>
        <w:tc>
          <w:tcPr>
            <w:tcW w:w="3980" w:type="dxa"/>
            <w:tcBorders>
              <w:top w:val="single" w:color="auto" w:sz="4" w:space="0"/>
              <w:bottom w:val="single" w:color="auto" w:sz="4" w:space="0"/>
            </w:tcBorders>
          </w:tcPr>
          <w:p>
            <w:pPr>
              <w:pStyle w:val="43"/>
              <w:widowControl w:val="0"/>
              <w:spacing w:before="0" w:after="0" w:line="240" w:lineRule="auto"/>
              <w:jc w:val="left"/>
              <w:rPr>
                <w:sz w:val="24"/>
                <w:szCs w:val="24"/>
              </w:rPr>
            </w:pPr>
          </w:p>
        </w:tc>
        <w:tc>
          <w:tcPr>
            <w:tcW w:w="296" w:type="dxa"/>
          </w:tcPr>
          <w:p>
            <w:pPr>
              <w:pStyle w:val="43"/>
              <w:widowControl w:val="0"/>
              <w:spacing w:before="0" w:after="0" w:line="240" w:lineRule="auto"/>
              <w:jc w:val="left"/>
              <w:rPr>
                <w:sz w:val="24"/>
                <w:szCs w:val="24"/>
              </w:rPr>
            </w:pPr>
            <w:r>
              <w:rPr>
                <w:sz w:val="24"/>
                <w:szCs w:val="24"/>
                <w:lang w:val="en-US"/>
              </w:rPr>
              <w:t>)</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1.3.9. Заявление о выдаче денег под отчет</w:t>
      </w:r>
    </w:p>
    <w:p>
      <w:pPr>
        <w:widowControl w:val="0"/>
        <w:autoSpaceDE w:val="0"/>
        <w:autoSpaceDN w:val="0"/>
        <w:adjustRightInd w:val="0"/>
        <w:spacing w:after="0" w:line="240" w:lineRule="auto"/>
        <w:jc w:val="center"/>
        <w:outlineLvl w:val="0"/>
        <w:rPr>
          <w:rFonts w:ascii="Times New Roman" w:hAnsi="Times New Roman"/>
          <w:b/>
          <w:sz w:val="24"/>
          <w:szCs w:val="24"/>
        </w:rPr>
      </w:pPr>
    </w:p>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Руководителю ____________________________</w:t>
      </w:r>
    </w:p>
    <w:p>
      <w:pPr>
        <w:widowControl w:val="0"/>
        <w:autoSpaceDE w:val="0"/>
        <w:autoSpaceDN w:val="0"/>
        <w:adjustRightInd w:val="0"/>
        <w:spacing w:after="0" w:line="240" w:lineRule="auto"/>
        <w:ind w:left="7655"/>
        <w:jc w:val="center"/>
        <w:outlineLvl w:val="0"/>
        <w:rPr>
          <w:rFonts w:ascii="Times New Roman" w:hAnsi="Times New Roman"/>
          <w:sz w:val="24"/>
          <w:szCs w:val="24"/>
        </w:rPr>
      </w:pPr>
      <w:r>
        <w:rPr>
          <w:rFonts w:ascii="Times New Roman" w:hAnsi="Times New Roman"/>
          <w:sz w:val="24"/>
          <w:szCs w:val="24"/>
        </w:rPr>
        <w:t>(название организации)</w:t>
      </w:r>
    </w:p>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_________________________________________</w:t>
      </w:r>
    </w:p>
    <w:p>
      <w:pPr>
        <w:widowControl w:val="0"/>
        <w:autoSpaceDE w:val="0"/>
        <w:autoSpaceDN w:val="0"/>
        <w:adjustRightInd w:val="0"/>
        <w:spacing w:after="0" w:line="240" w:lineRule="auto"/>
        <w:ind w:left="5954"/>
        <w:jc w:val="center"/>
        <w:outlineLvl w:val="0"/>
        <w:rPr>
          <w:rFonts w:ascii="Times New Roman" w:hAnsi="Times New Roman"/>
          <w:sz w:val="24"/>
          <w:szCs w:val="24"/>
        </w:rPr>
      </w:pPr>
      <w:r>
        <w:rPr>
          <w:rFonts w:ascii="Times New Roman" w:hAnsi="Times New Roman"/>
          <w:sz w:val="24"/>
          <w:szCs w:val="24"/>
        </w:rPr>
        <w:t>(фамилия, инициалы руководителя)</w:t>
      </w:r>
    </w:p>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от _______________________________________</w:t>
      </w:r>
    </w:p>
    <w:p>
      <w:pPr>
        <w:widowControl w:val="0"/>
        <w:autoSpaceDE w:val="0"/>
        <w:autoSpaceDN w:val="0"/>
        <w:adjustRightInd w:val="0"/>
        <w:spacing w:after="0" w:line="240" w:lineRule="auto"/>
        <w:ind w:left="6096"/>
        <w:jc w:val="center"/>
        <w:outlineLvl w:val="0"/>
        <w:rPr>
          <w:rFonts w:ascii="Times New Roman" w:hAnsi="Times New Roman"/>
          <w:sz w:val="24"/>
          <w:szCs w:val="24"/>
        </w:rPr>
      </w:pPr>
      <w:r>
        <w:rPr>
          <w:rFonts w:ascii="Times New Roman" w:hAnsi="Times New Roman"/>
          <w:sz w:val="24"/>
          <w:szCs w:val="24"/>
        </w:rPr>
        <w:t>(должность, фамилия, инициалы работника)</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ЗАЯВЛЕНИЕ</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о выдаче денег под отчет</w:t>
      </w: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Прошу выдать мне под отчет</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(сумма в рублях прописью и в круглых скобках - цифрами)</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 (_________) руб.</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на _______________________________________________________________________________________</w:t>
      </w:r>
    </w:p>
    <w:p>
      <w:pPr>
        <w:widowControl w:val="0"/>
        <w:autoSpaceDE w:val="0"/>
        <w:autoSpaceDN w:val="0"/>
        <w:adjustRightInd w:val="0"/>
        <w:spacing w:after="0" w:line="240" w:lineRule="auto"/>
        <w:ind w:left="284"/>
        <w:jc w:val="center"/>
        <w:outlineLvl w:val="0"/>
        <w:rPr>
          <w:rFonts w:ascii="Times New Roman" w:hAnsi="Times New Roman"/>
          <w:sz w:val="24"/>
          <w:szCs w:val="24"/>
        </w:rPr>
      </w:pPr>
      <w:r>
        <w:rPr>
          <w:rFonts w:ascii="Times New Roman" w:hAnsi="Times New Roman"/>
          <w:sz w:val="24"/>
          <w:szCs w:val="24"/>
        </w:rPr>
        <w:t>(указать цель выдачи денежных средств: хозяйственные нужды, командировочные расходы и др.)</w:t>
      </w: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Обоснование суммы </w:t>
      </w:r>
      <w:r>
        <w:rPr>
          <w:rFonts w:ascii="Times New Roman" w:hAnsi="Times New Roman"/>
          <w:sz w:val="24"/>
          <w:szCs w:val="24"/>
          <w:vertAlign w:val="superscript"/>
        </w:rPr>
        <w:t>1</w:t>
      </w:r>
      <w:r>
        <w:rPr>
          <w:rFonts w:ascii="Times New Roman" w:hAnsi="Times New Roman"/>
          <w:sz w:val="24"/>
          <w:szCs w:val="24"/>
        </w:rPr>
        <w:t>:</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(привести обоснование и при необходимости - расчет запрошенной суммы)</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Предполагаемая дата выдачи денег: «__» _________________ 20__ г.</w:t>
      </w: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Срок, на который выдаются деньги 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 (____________________________) «__» _________________ 20__ г.</w:t>
      </w:r>
    </w:p>
    <w:tbl>
      <w:tblPr>
        <w:tblStyle w:val="3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0"/>
        <w:gridCol w:w="368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10" w:type="dxa"/>
          </w:tcPr>
          <w:p>
            <w:pPr>
              <w:widowControl w:val="0"/>
              <w:autoSpaceDE w:val="0"/>
              <w:autoSpaceDN w:val="0"/>
              <w:adjustRightInd w:val="0"/>
              <w:spacing w:after="0" w:line="240" w:lineRule="auto"/>
              <w:ind w:left="142"/>
              <w:jc w:val="center"/>
              <w:outlineLvl w:val="0"/>
              <w:rPr>
                <w:rFonts w:ascii="Times New Roman" w:hAnsi="Times New Roman"/>
                <w:sz w:val="24"/>
                <w:szCs w:val="24"/>
              </w:rPr>
            </w:pPr>
            <w:r>
              <w:rPr>
                <w:rFonts w:ascii="Times New Roman" w:hAnsi="Times New Roman"/>
                <w:sz w:val="24"/>
                <w:szCs w:val="24"/>
              </w:rPr>
              <w:t>(подпись работника)</w:t>
            </w:r>
          </w:p>
        </w:tc>
        <w:tc>
          <w:tcPr>
            <w:tcW w:w="3686"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(фамилия, инициалы)</w:t>
            </w:r>
          </w:p>
        </w:tc>
        <w:tc>
          <w:tcPr>
            <w:tcW w:w="2126" w:type="dxa"/>
          </w:tcPr>
          <w:p>
            <w:pPr>
              <w:widowControl w:val="0"/>
              <w:autoSpaceDE w:val="0"/>
              <w:autoSpaceDN w:val="0"/>
              <w:adjustRightInd w:val="0"/>
              <w:spacing w:after="0" w:line="240" w:lineRule="auto"/>
              <w:jc w:val="center"/>
              <w:outlineLvl w:val="0"/>
              <w:rPr>
                <w:rFonts w:ascii="Times New Roman" w:hAnsi="Times New Roman"/>
                <w:sz w:val="24"/>
                <w:szCs w:val="24"/>
              </w:rPr>
            </w:pPr>
          </w:p>
        </w:tc>
      </w:tr>
    </w:tbl>
    <w:p>
      <w:pPr>
        <w:widowControl w:val="0"/>
        <w:autoSpaceDE w:val="0"/>
        <w:autoSpaceDN w:val="0"/>
        <w:adjustRightInd w:val="0"/>
        <w:spacing w:after="0" w:line="240" w:lineRule="auto"/>
        <w:outlineLvl w:val="0"/>
        <w:rPr>
          <w:rFonts w:ascii="Times New Roman" w:hAnsi="Times New Roman"/>
          <w:sz w:val="24"/>
          <w:szCs w:val="24"/>
        </w:rPr>
      </w:pP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Состояние расчетов с работником по выданным ему ранее под отчет суммам </w:t>
      </w:r>
      <w:r>
        <w:rPr>
          <w:rFonts w:ascii="Times New Roman" w:hAnsi="Times New Roman"/>
          <w:sz w:val="24"/>
          <w:szCs w:val="24"/>
          <w:vertAlign w:val="superscript"/>
        </w:rPr>
        <w:t>2</w:t>
      </w:r>
      <w:r>
        <w:rPr>
          <w:rFonts w:ascii="Times New Roman" w:hAnsi="Times New Roman"/>
          <w:sz w:val="24"/>
          <w:szCs w:val="24"/>
        </w:rPr>
        <w:t>:</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Бухгалтер:________________________ (____________________________) «__» _______________ 20__ г.</w:t>
      </w:r>
    </w:p>
    <w:tbl>
      <w:tblPr>
        <w:tblStyle w:val="30"/>
        <w:tblW w:w="8786"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7"/>
        <w:gridCol w:w="3652"/>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7"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 бухгалтера)</w:t>
            </w:r>
          </w:p>
        </w:tc>
        <w:tc>
          <w:tcPr>
            <w:tcW w:w="3652"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(фамилия, инициалы)</w:t>
            </w:r>
          </w:p>
        </w:tc>
        <w:tc>
          <w:tcPr>
            <w:tcW w:w="2407" w:type="dxa"/>
          </w:tcPr>
          <w:p>
            <w:pPr>
              <w:widowControl w:val="0"/>
              <w:autoSpaceDE w:val="0"/>
              <w:autoSpaceDN w:val="0"/>
              <w:adjustRightInd w:val="0"/>
              <w:spacing w:after="0" w:line="240" w:lineRule="auto"/>
              <w:jc w:val="center"/>
              <w:outlineLvl w:val="0"/>
              <w:rPr>
                <w:rFonts w:ascii="Times New Roman" w:hAnsi="Times New Roman"/>
                <w:sz w:val="24"/>
                <w:szCs w:val="24"/>
              </w:rPr>
            </w:pPr>
          </w:p>
        </w:tc>
      </w:tr>
    </w:tbl>
    <w:p>
      <w:pPr>
        <w:widowControl w:val="0"/>
        <w:autoSpaceDE w:val="0"/>
        <w:autoSpaceDN w:val="0"/>
        <w:adjustRightInd w:val="0"/>
        <w:spacing w:after="0" w:line="240" w:lineRule="auto"/>
        <w:outlineLvl w:val="0"/>
        <w:rPr>
          <w:rFonts w:ascii="Times New Roman" w:hAnsi="Times New Roman"/>
          <w:sz w:val="24"/>
          <w:szCs w:val="24"/>
        </w:rPr>
      </w:pP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Решение руководителя: ___________________________________________________________________________</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_________________________ (____________________________) «__» _________________ 20__ г.</w:t>
      </w:r>
    </w:p>
    <w:tbl>
      <w:tblPr>
        <w:tblStyle w:val="3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2"/>
        <w:gridCol w:w="3652"/>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2"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 руководителя)</w:t>
            </w:r>
          </w:p>
        </w:tc>
        <w:tc>
          <w:tcPr>
            <w:tcW w:w="3652" w:type="dxa"/>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(фамилия, инициалы)</w:t>
            </w:r>
          </w:p>
        </w:tc>
        <w:tc>
          <w:tcPr>
            <w:tcW w:w="2268" w:type="dxa"/>
          </w:tcPr>
          <w:p>
            <w:pPr>
              <w:widowControl w:val="0"/>
              <w:autoSpaceDE w:val="0"/>
              <w:autoSpaceDN w:val="0"/>
              <w:adjustRightInd w:val="0"/>
              <w:spacing w:after="0" w:line="240" w:lineRule="auto"/>
              <w:jc w:val="center"/>
              <w:outlineLvl w:val="0"/>
              <w:rPr>
                <w:rFonts w:ascii="Times New Roman" w:hAnsi="Times New Roman"/>
                <w:sz w:val="24"/>
                <w:szCs w:val="24"/>
              </w:rPr>
            </w:pPr>
          </w:p>
        </w:tc>
      </w:tr>
    </w:tbl>
    <w:p>
      <w:pPr>
        <w:widowControl w:val="0"/>
        <w:autoSpaceDE w:val="0"/>
        <w:autoSpaceDN w:val="0"/>
        <w:adjustRightInd w:val="0"/>
        <w:spacing w:after="0" w:line="240" w:lineRule="auto"/>
        <w:outlineLvl w:val="0"/>
        <w:rPr>
          <w:rFonts w:ascii="Times New Roman" w:hAnsi="Times New Roman"/>
          <w:sz w:val="24"/>
          <w:szCs w:val="24"/>
        </w:rPr>
      </w:pPr>
    </w:p>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Заявление принято кассиром «__» ____________ 20__ г. ___________________(____________________)</w:t>
      </w:r>
    </w:p>
    <w:tbl>
      <w:tblPr>
        <w:tblStyle w:val="30"/>
        <w:tblW w:w="10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7"/>
        <w:gridCol w:w="3135"/>
        <w:gridCol w:w="241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7"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3135"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410" w:type="dxa"/>
          </w:tcPr>
          <w:p>
            <w:pPr>
              <w:widowControl w:val="0"/>
              <w:autoSpaceDE w:val="0"/>
              <w:autoSpaceDN w:val="0"/>
              <w:adjustRightInd w:val="0"/>
              <w:spacing w:after="0" w:line="240" w:lineRule="auto"/>
              <w:ind w:left="318"/>
              <w:jc w:val="center"/>
              <w:outlineLvl w:val="0"/>
              <w:rPr>
                <w:rFonts w:ascii="Times New Roman" w:hAnsi="Times New Roman"/>
                <w:sz w:val="24"/>
                <w:szCs w:val="24"/>
              </w:rPr>
            </w:pPr>
            <w:r>
              <w:rPr>
                <w:rFonts w:ascii="Times New Roman" w:hAnsi="Times New Roman"/>
                <w:sz w:val="24"/>
                <w:szCs w:val="24"/>
              </w:rPr>
              <w:t>(подпись кассира)</w:t>
            </w:r>
          </w:p>
        </w:tc>
        <w:tc>
          <w:tcPr>
            <w:tcW w:w="2550" w:type="dxa"/>
          </w:tcPr>
          <w:p>
            <w:pPr>
              <w:widowControl w:val="0"/>
              <w:autoSpaceDE w:val="0"/>
              <w:autoSpaceDN w:val="0"/>
              <w:adjustRightInd w:val="0"/>
              <w:spacing w:after="0" w:line="240" w:lineRule="auto"/>
              <w:ind w:left="-19"/>
              <w:jc w:val="center"/>
              <w:outlineLvl w:val="0"/>
              <w:rPr>
                <w:rFonts w:ascii="Times New Roman" w:hAnsi="Times New Roman"/>
                <w:sz w:val="24"/>
                <w:szCs w:val="24"/>
              </w:rPr>
            </w:pPr>
            <w:r>
              <w:rPr>
                <w:rFonts w:ascii="Times New Roman" w:hAnsi="Times New Roman"/>
                <w:sz w:val="24"/>
                <w:szCs w:val="24"/>
              </w:rPr>
              <w:t>(фамилия, инициалы)</w:t>
            </w:r>
          </w:p>
        </w:tc>
      </w:tr>
    </w:tbl>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________________________________</w:t>
      </w:r>
    </w:p>
    <w:p>
      <w:pPr>
        <w:widowControl w:val="0"/>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 По расходам на хозяйственные нужды указывается предполагаемая стоимость приобретаемых товаров, работ, услуг. По командировочным расходам указывается предполагаемая стоимость проезда, проживания, иных необходимых услуг (такси, плата за провоз багажа и пр.), а также количество дней командировки и сумма суточных.</w:t>
      </w:r>
    </w:p>
    <w:p>
      <w:pPr>
        <w:widowControl w:val="0"/>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 Приводится информация об отсутствии или наличии задолженности работника по ранее выданным подотчетным суммам. При наличии задолженности указываются ее сумма, дата и номер расходного кассового ордера, которым была оформлена выдача денег под отчет.</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1.3.10. Акт инвентаризации незавершенного производства</w:t>
      </w:r>
    </w:p>
    <w:p>
      <w:pPr>
        <w:pStyle w:val="44"/>
        <w:rPr>
          <w:rFonts w:ascii="Times New Roman" w:hAnsi="Times New Roman" w:cs="Times New Roman"/>
          <w:sz w:val="24"/>
          <w:szCs w:val="24"/>
        </w:rPr>
      </w:pPr>
    </w:p>
    <w:p>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Форма </w:t>
      </w:r>
      <w:r>
        <w:rPr>
          <w:rFonts w:ascii="Times New Roman" w:hAnsi="Times New Roman"/>
          <w:sz w:val="24"/>
          <w:szCs w:val="24"/>
          <w:lang w:val="ru-RU"/>
        </w:rPr>
        <w:t>№</w:t>
      </w:r>
      <w:r>
        <w:rPr>
          <w:rFonts w:ascii="Times New Roman" w:hAnsi="Times New Roman"/>
          <w:sz w:val="24"/>
          <w:szCs w:val="24"/>
        </w:rPr>
        <w:t xml:space="preserve"> _______</w:t>
      </w:r>
    </w:p>
    <w:tbl>
      <w:tblPr>
        <w:tblStyle w:val="29"/>
        <w:tblW w:w="10772" w:type="dxa"/>
        <w:tblInd w:w="0" w:type="dxa"/>
        <w:tblLayout w:type="fixed"/>
        <w:tblCellMar>
          <w:top w:w="0" w:type="dxa"/>
          <w:left w:w="108" w:type="dxa"/>
          <w:bottom w:w="0" w:type="dxa"/>
          <w:right w:w="108" w:type="dxa"/>
        </w:tblCellMar>
      </w:tblPr>
      <w:tblGrid>
        <w:gridCol w:w="3916"/>
        <w:gridCol w:w="3809"/>
        <w:gridCol w:w="1306"/>
        <w:gridCol w:w="1741"/>
      </w:tblGrid>
      <w:tr>
        <w:tblPrEx>
          <w:tblLayout w:type="fixed"/>
          <w:tblCellMar>
            <w:top w:w="0" w:type="dxa"/>
            <w:left w:w="108" w:type="dxa"/>
            <w:bottom w:w="0" w:type="dxa"/>
            <w:right w:w="108" w:type="dxa"/>
          </w:tblCellMar>
        </w:tblPrEx>
        <w:tc>
          <w:tcPr>
            <w:tcW w:w="10772" w:type="dxa"/>
            <w:gridSpan w:val="4"/>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10772" w:type="dxa"/>
            <w:gridSpan w:val="4"/>
            <w:tcBorders>
              <w:top w:val="single" w:color="auto" w:sz="2" w:space="0"/>
              <w:left w:val="nil"/>
              <w:bottom w:val="single" w:color="auto" w:sz="2" w:space="0"/>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организация</w:t>
            </w:r>
          </w:p>
        </w:tc>
      </w:tr>
      <w:tr>
        <w:tblPrEx>
          <w:tblLayout w:type="fixed"/>
          <w:tblCellMar>
            <w:top w:w="0" w:type="dxa"/>
            <w:left w:w="108" w:type="dxa"/>
            <w:bottom w:w="0" w:type="dxa"/>
            <w:right w:w="108" w:type="dxa"/>
          </w:tblCellMar>
        </w:tblPrEx>
        <w:tc>
          <w:tcPr>
            <w:tcW w:w="10772" w:type="dxa"/>
            <w:gridSpan w:val="4"/>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подразделение</w:t>
            </w:r>
          </w:p>
        </w:tc>
      </w:tr>
      <w:tr>
        <w:tblPrEx>
          <w:tblLayout w:type="fixed"/>
          <w:tblCellMar>
            <w:top w:w="0" w:type="dxa"/>
            <w:left w:w="108" w:type="dxa"/>
            <w:bottom w:w="0" w:type="dxa"/>
            <w:right w:w="108" w:type="dxa"/>
          </w:tblCellMar>
        </w:tblPrEx>
        <w:tc>
          <w:tcPr>
            <w:tcW w:w="9031"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4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Вид деятельности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809" w:type="dxa"/>
            <w:vMerge w:val="restart"/>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приказ, постановление,</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распоряжение</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ненужное зачеркнуть</w:t>
            </w: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номер</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Основание для проведения</w:t>
            </w:r>
            <w:r>
              <w:rPr>
                <w:rFonts w:ascii="Times New Roman" w:hAnsi="Times New Roman"/>
                <w:sz w:val="24"/>
                <w:szCs w:val="24"/>
              </w:rPr>
              <w:br w:type="textWrapping"/>
            </w:r>
            <w:r>
              <w:rPr>
                <w:rFonts w:ascii="Times New Roman" w:hAnsi="Times New Roman"/>
                <w:sz w:val="24"/>
                <w:szCs w:val="24"/>
              </w:rPr>
              <w:t>инвентаризации:</w:t>
            </w:r>
          </w:p>
        </w:tc>
        <w:tc>
          <w:tcPr>
            <w:tcW w:w="3809" w:type="dxa"/>
            <w:vMerge w:val="continue"/>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w:t>
            </w:r>
          </w:p>
        </w:tc>
        <w:tc>
          <w:tcPr>
            <w:tcW w:w="1741" w:type="dxa"/>
            <w:vMerge w:val="restart"/>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3809" w:type="dxa"/>
            <w:vMerge w:val="continue"/>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41" w:type="dxa"/>
            <w:vMerge w:val="continue"/>
            <w:tcBorders>
              <w:top w:val="single" w:color="auto" w:sz="2" w:space="0"/>
              <w:left w:val="single" w:color="auto" w:sz="2" w:space="0"/>
              <w:bottom w:val="single" w:color="auto" w:sz="2" w:space="0"/>
              <w:right w:val="single" w:color="auto" w:sz="2" w:space="0"/>
            </w:tcBorders>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 начала инвентаризации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 окончания инвентаризации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bl>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29"/>
        <w:tblW w:w="10769" w:type="dxa"/>
        <w:tblInd w:w="0" w:type="dxa"/>
        <w:tblLayout w:type="fixed"/>
        <w:tblCellMar>
          <w:top w:w="0" w:type="dxa"/>
          <w:left w:w="108" w:type="dxa"/>
          <w:bottom w:w="0" w:type="dxa"/>
          <w:right w:w="108" w:type="dxa"/>
        </w:tblCellMar>
      </w:tblPr>
      <w:tblGrid>
        <w:gridCol w:w="8292"/>
        <w:gridCol w:w="646"/>
        <w:gridCol w:w="1831"/>
      </w:tblGrid>
      <w:tr>
        <w:tblPrEx>
          <w:tblLayout w:type="fixed"/>
          <w:tblCellMar>
            <w:top w:w="0" w:type="dxa"/>
            <w:left w:w="108" w:type="dxa"/>
            <w:bottom w:w="0" w:type="dxa"/>
            <w:right w:w="108" w:type="dxa"/>
          </w:tblCellMar>
        </w:tblPrEx>
        <w:tc>
          <w:tcPr>
            <w:tcW w:w="8292"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46"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center"/>
              <w:outlineLvl w:val="0"/>
              <w:rPr>
                <w:rFonts w:ascii="Times New Roman" w:hAnsi="Times New Roman"/>
                <w:sz w:val="24"/>
                <w:szCs w:val="24"/>
                <w:lang w:val="ru-RU"/>
              </w:rPr>
            </w:pPr>
            <w:r>
              <w:rPr>
                <w:rFonts w:ascii="Times New Roman" w:hAnsi="Times New Roman"/>
                <w:sz w:val="24"/>
                <w:szCs w:val="24"/>
                <w:lang w:val="ru-RU"/>
              </w:rPr>
              <w:t>№</w:t>
            </w:r>
          </w:p>
        </w:tc>
        <w:tc>
          <w:tcPr>
            <w:tcW w:w="183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Дата</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составления</w:t>
            </w:r>
          </w:p>
        </w:tc>
      </w:tr>
      <w:tr>
        <w:tblPrEx>
          <w:tblLayout w:type="fixed"/>
          <w:tblCellMar>
            <w:top w:w="0" w:type="dxa"/>
            <w:left w:w="108" w:type="dxa"/>
            <w:bottom w:w="0" w:type="dxa"/>
            <w:right w:w="108" w:type="dxa"/>
          </w:tblCellMar>
        </w:tblPrEx>
        <w:tc>
          <w:tcPr>
            <w:tcW w:w="8292"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646"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83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10769"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АКТ ИНВЕНТАРИЗАЦИИ</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незавершенного производства (НЗП)</w:t>
            </w:r>
          </w:p>
        </w:tc>
      </w:tr>
    </w:tbl>
    <w:p>
      <w:pPr>
        <w:widowControl w:val="0"/>
        <w:spacing w:after="0" w:line="240" w:lineRule="auto"/>
        <w:rPr>
          <w:rFonts w:ascii="Times New Roman" w:hAnsi="Times New Roman"/>
          <w:sz w:val="24"/>
          <w:szCs w:val="24"/>
        </w:rPr>
      </w:pPr>
    </w:p>
    <w:p>
      <w:pPr>
        <w:widowControl w:val="0"/>
        <w:spacing w:after="0" w:line="240" w:lineRule="auto"/>
        <w:jc w:val="both"/>
        <w:rPr>
          <w:rFonts w:ascii="Times New Roman" w:hAnsi="Times New Roman"/>
          <w:sz w:val="24"/>
          <w:szCs w:val="24"/>
        </w:rPr>
      </w:pPr>
      <w:r>
        <w:rPr>
          <w:rFonts w:ascii="Times New Roman" w:hAnsi="Times New Roman"/>
          <w:sz w:val="24"/>
          <w:szCs w:val="24"/>
        </w:rPr>
        <w:t>Акт составлен комиссией в том, что по состоянию на "__" ______ 20__ г. проведена инвентаризация незавершенного производства.</w:t>
      </w:r>
    </w:p>
    <w:p>
      <w:pPr>
        <w:widowControl w:val="0"/>
        <w:spacing w:after="0" w:line="240" w:lineRule="auto"/>
        <w:rPr>
          <w:rFonts w:ascii="Times New Roman" w:hAnsi="Times New Roman"/>
          <w:sz w:val="24"/>
          <w:szCs w:val="24"/>
        </w:rPr>
      </w:pPr>
      <w:r>
        <w:rPr>
          <w:rFonts w:ascii="Times New Roman" w:hAnsi="Times New Roman"/>
          <w:sz w:val="24"/>
          <w:szCs w:val="24"/>
        </w:rPr>
        <w:t>При инвентаризации установлено следующее:</w:t>
      </w:r>
    </w:p>
    <w:p>
      <w:pPr>
        <w:widowControl w:val="0"/>
        <w:spacing w:after="0" w:line="240" w:lineRule="auto"/>
        <w:rPr>
          <w:rFonts w:ascii="Times New Roman" w:hAnsi="Times New Roman"/>
          <w:sz w:val="24"/>
          <w:szCs w:val="24"/>
        </w:rPr>
      </w:pPr>
      <w:r>
        <w:rPr>
          <w:rFonts w:ascii="Times New Roman" w:hAnsi="Times New Roman"/>
          <w:sz w:val="24"/>
          <w:szCs w:val="24"/>
        </w:rPr>
        <w:t>Раздел 1. Фактически выявленные объекты НЗП в подразделении</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84"/>
        <w:gridCol w:w="1669"/>
        <w:gridCol w:w="311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restart"/>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п/п</w:t>
            </w:r>
          </w:p>
        </w:tc>
        <w:tc>
          <w:tcPr>
            <w:tcW w:w="1984" w:type="dxa"/>
            <w:vMerge w:val="restart"/>
            <w:tcBorders>
              <w:top w:val="single" w:color="auto" w:sz="6" w:space="0"/>
              <w:left w:val="single" w:color="auto" w:sz="6" w:space="0"/>
              <w:bottom w:val="nil"/>
              <w:right w:val="single" w:color="auto" w:sz="6" w:space="0"/>
            </w:tcBorders>
          </w:tcPr>
          <w:p>
            <w:pPr>
              <w:pStyle w:val="45"/>
              <w:autoSpaceDE/>
              <w:jc w:val="center"/>
            </w:pPr>
            <w:r>
              <w:t>Стадия производства (готовности) продукции</w:t>
            </w:r>
          </w:p>
        </w:tc>
        <w:tc>
          <w:tcPr>
            <w:tcW w:w="1669" w:type="dxa"/>
            <w:vMerge w:val="restart"/>
            <w:tcBorders>
              <w:top w:val="single" w:color="auto" w:sz="6" w:space="0"/>
              <w:left w:val="single" w:color="auto" w:sz="6" w:space="0"/>
              <w:bottom w:val="nil"/>
              <w:right w:val="single" w:color="auto" w:sz="6" w:space="0"/>
            </w:tcBorders>
          </w:tcPr>
          <w:p>
            <w:pPr>
              <w:pStyle w:val="45"/>
              <w:autoSpaceDE/>
              <w:jc w:val="center"/>
            </w:pPr>
            <w:r>
              <w:t>Фактическое количество НЗП</w:t>
            </w:r>
          </w:p>
        </w:tc>
        <w:tc>
          <w:tcPr>
            <w:tcW w:w="6095" w:type="dxa"/>
            <w:gridSpan w:val="2"/>
            <w:tcBorders>
              <w:top w:val="single" w:color="auto" w:sz="6" w:space="0"/>
              <w:left w:val="single" w:color="auto" w:sz="6" w:space="0"/>
              <w:bottom w:val="single" w:color="auto" w:sz="6" w:space="0"/>
              <w:right w:val="single" w:color="auto" w:sz="6" w:space="0"/>
            </w:tcBorders>
          </w:tcPr>
          <w:p>
            <w:pPr>
              <w:pStyle w:val="45"/>
              <w:autoSpaceDE/>
              <w:jc w:val="center"/>
            </w:pPr>
            <w:r>
              <w:t>Затраты (согласно калькуляции производственной себестоимости)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center"/>
            </w:pPr>
            <w:r>
              <w:t>вид</w:t>
            </w:r>
          </w:p>
        </w:tc>
        <w:tc>
          <w:tcPr>
            <w:tcW w:w="2976" w:type="dxa"/>
            <w:tcBorders>
              <w:top w:val="single" w:color="auto" w:sz="6" w:space="0"/>
              <w:left w:val="single" w:color="auto" w:sz="6" w:space="0"/>
              <w:bottom w:val="single" w:color="auto" w:sz="6" w:space="0"/>
              <w:right w:val="single" w:color="auto" w:sz="6" w:space="0"/>
            </w:tcBorders>
          </w:tcPr>
          <w:p>
            <w:pPr>
              <w:pStyle w:val="45"/>
              <w:autoSpaceDE/>
              <w:jc w:val="center"/>
            </w:pPr>
            <w:r>
              <w:t>сумма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restart"/>
            <w:tcBorders>
              <w:top w:val="single" w:color="auto" w:sz="6" w:space="0"/>
              <w:left w:val="single" w:color="auto" w:sz="6" w:space="0"/>
              <w:bottom w:val="nil"/>
              <w:right w:val="single" w:color="auto" w:sz="6" w:space="0"/>
            </w:tcBorders>
          </w:tcPr>
          <w:p>
            <w:pPr>
              <w:pStyle w:val="45"/>
              <w:autoSpaceDE/>
              <w:jc w:val="center"/>
            </w:pPr>
            <w:r>
              <w:t>1</w:t>
            </w:r>
          </w:p>
        </w:tc>
        <w:tc>
          <w:tcPr>
            <w:tcW w:w="1984" w:type="dxa"/>
            <w:vMerge w:val="restart"/>
            <w:tcBorders>
              <w:top w:val="single" w:color="auto" w:sz="6" w:space="0"/>
              <w:left w:val="single" w:color="auto" w:sz="6" w:space="0"/>
              <w:bottom w:val="nil"/>
              <w:right w:val="single" w:color="auto" w:sz="6" w:space="0"/>
            </w:tcBorders>
          </w:tcPr>
          <w:p>
            <w:pPr>
              <w:pStyle w:val="45"/>
              <w:autoSpaceDE/>
              <w:jc w:val="left"/>
            </w:pPr>
          </w:p>
        </w:tc>
        <w:tc>
          <w:tcPr>
            <w:tcW w:w="1669" w:type="dxa"/>
            <w:vMerge w:val="restart"/>
            <w:tcBorders>
              <w:top w:val="single" w:color="auto" w:sz="6" w:space="0"/>
              <w:left w:val="single" w:color="auto" w:sz="6" w:space="0"/>
              <w:bottom w:val="single" w:color="auto" w:sz="6" w:space="0"/>
              <w:right w:val="single" w:color="auto" w:sz="6" w:space="0"/>
            </w:tcBorders>
          </w:tcPr>
          <w:p>
            <w:pPr>
              <w:pStyle w:val="45"/>
              <w:autoSpaceDE/>
              <w:jc w:val="left"/>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tcBorders>
              <w:top w:val="single" w:color="auto" w:sz="6" w:space="0"/>
              <w:left w:val="single" w:color="auto" w:sz="6" w:space="0"/>
              <w:bottom w:val="single" w:color="auto" w:sz="6" w:space="0"/>
              <w:right w:val="single" w:color="auto" w:sz="6" w:space="0"/>
            </w:tcBorders>
          </w:tcPr>
          <w:p>
            <w:pPr>
              <w:pStyle w:val="45"/>
              <w:autoSpaceDE/>
              <w:jc w:val="right"/>
            </w:pPr>
            <w:r>
              <w:t>Итого</w:t>
            </w: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restart"/>
            <w:tcBorders>
              <w:top w:val="single" w:color="auto" w:sz="6" w:space="0"/>
              <w:left w:val="single" w:color="auto" w:sz="6" w:space="0"/>
              <w:bottom w:val="nil"/>
              <w:right w:val="single" w:color="auto" w:sz="6" w:space="0"/>
            </w:tcBorders>
          </w:tcPr>
          <w:p>
            <w:pPr>
              <w:pStyle w:val="45"/>
              <w:autoSpaceDE/>
              <w:jc w:val="center"/>
            </w:pPr>
            <w:r>
              <w:t>2</w:t>
            </w:r>
          </w:p>
        </w:tc>
        <w:tc>
          <w:tcPr>
            <w:tcW w:w="1984" w:type="dxa"/>
            <w:vMerge w:val="restart"/>
            <w:tcBorders>
              <w:top w:val="single" w:color="auto" w:sz="6" w:space="0"/>
              <w:left w:val="single" w:color="auto" w:sz="6" w:space="0"/>
              <w:bottom w:val="nil"/>
              <w:right w:val="single" w:color="auto" w:sz="6" w:space="0"/>
            </w:tcBorders>
          </w:tcPr>
          <w:p>
            <w:pPr>
              <w:pStyle w:val="45"/>
              <w:autoSpaceDE/>
              <w:jc w:val="left"/>
            </w:pPr>
          </w:p>
        </w:tc>
        <w:tc>
          <w:tcPr>
            <w:tcW w:w="1669" w:type="dxa"/>
            <w:vMerge w:val="restart"/>
            <w:tcBorders>
              <w:top w:val="single" w:color="auto" w:sz="6" w:space="0"/>
              <w:left w:val="single" w:color="auto" w:sz="6" w:space="0"/>
              <w:bottom w:val="nil"/>
              <w:right w:val="single" w:color="auto" w:sz="6" w:space="0"/>
            </w:tcBorders>
          </w:tcPr>
          <w:p>
            <w:pPr>
              <w:pStyle w:val="45"/>
              <w:autoSpaceDE/>
              <w:jc w:val="left"/>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tcBorders>
              <w:top w:val="single" w:color="auto" w:sz="6" w:space="0"/>
              <w:left w:val="single" w:color="auto" w:sz="6" w:space="0"/>
              <w:bottom w:val="single" w:color="auto" w:sz="6" w:space="0"/>
              <w:right w:val="single" w:color="auto" w:sz="6" w:space="0"/>
            </w:tcBorders>
          </w:tcPr>
          <w:p>
            <w:pPr>
              <w:pStyle w:val="45"/>
              <w:autoSpaceDE/>
              <w:jc w:val="right"/>
            </w:pPr>
            <w:r>
              <w:t>Итого</w:t>
            </w: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restart"/>
            <w:tcBorders>
              <w:top w:val="single" w:color="auto" w:sz="6" w:space="0"/>
              <w:left w:val="single" w:color="auto" w:sz="6" w:space="0"/>
              <w:bottom w:val="nil"/>
              <w:right w:val="single" w:color="auto" w:sz="6" w:space="0"/>
            </w:tcBorders>
          </w:tcPr>
          <w:p>
            <w:pPr>
              <w:pStyle w:val="45"/>
              <w:autoSpaceDE/>
              <w:jc w:val="center"/>
            </w:pPr>
            <w:r>
              <w:t>3</w:t>
            </w:r>
          </w:p>
        </w:tc>
        <w:tc>
          <w:tcPr>
            <w:tcW w:w="1984" w:type="dxa"/>
            <w:vMerge w:val="restart"/>
            <w:tcBorders>
              <w:top w:val="single" w:color="auto" w:sz="6" w:space="0"/>
              <w:left w:val="single" w:color="auto" w:sz="6" w:space="0"/>
              <w:bottom w:val="nil"/>
              <w:right w:val="single" w:color="auto" w:sz="6" w:space="0"/>
            </w:tcBorders>
          </w:tcPr>
          <w:p>
            <w:pPr>
              <w:pStyle w:val="45"/>
              <w:autoSpaceDE/>
              <w:jc w:val="left"/>
            </w:pPr>
          </w:p>
        </w:tc>
        <w:tc>
          <w:tcPr>
            <w:tcW w:w="1669" w:type="dxa"/>
            <w:vMerge w:val="restart"/>
            <w:tcBorders>
              <w:top w:val="single" w:color="auto" w:sz="6" w:space="0"/>
              <w:left w:val="single" w:color="auto" w:sz="6" w:space="0"/>
              <w:bottom w:val="nil"/>
              <w:right w:val="single" w:color="auto" w:sz="6" w:space="0"/>
            </w:tcBorders>
          </w:tcPr>
          <w:p>
            <w:pPr>
              <w:pStyle w:val="45"/>
              <w:autoSpaceDE/>
              <w:jc w:val="left"/>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984"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669"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311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tcBorders>
              <w:top w:val="single" w:color="auto" w:sz="6" w:space="0"/>
              <w:left w:val="single" w:color="auto" w:sz="6" w:space="0"/>
              <w:bottom w:val="single" w:color="auto" w:sz="6" w:space="0"/>
              <w:right w:val="single" w:color="auto" w:sz="6" w:space="0"/>
            </w:tcBorders>
          </w:tcPr>
          <w:p>
            <w:pPr>
              <w:pStyle w:val="45"/>
              <w:autoSpaceDE/>
              <w:jc w:val="right"/>
            </w:pPr>
            <w:r>
              <w:t>Итого</w:t>
            </w: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tcBorders>
              <w:top w:val="single" w:color="auto" w:sz="6" w:space="0"/>
              <w:left w:val="single" w:color="auto" w:sz="6" w:space="0"/>
              <w:bottom w:val="single" w:color="auto" w:sz="6" w:space="0"/>
              <w:right w:val="single" w:color="auto" w:sz="6" w:space="0"/>
            </w:tcBorders>
          </w:tcPr>
          <w:p>
            <w:pPr>
              <w:pStyle w:val="45"/>
              <w:autoSpaceDE/>
              <w:jc w:val="right"/>
            </w:pPr>
            <w:r>
              <w:t>Всего</w:t>
            </w:r>
          </w:p>
        </w:tc>
        <w:tc>
          <w:tcPr>
            <w:tcW w:w="2976"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2. Затраты производства, отраженные в бухгалтерском учете</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 затрат</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center"/>
            </w:pPr>
            <w:r>
              <w:t>Сумма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материалы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Вспомогательные материалы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Заработная плата, страховые взносы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Энергия, топливо</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ОС</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Текущие затраты на ремонт и техобслуживание</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Покупные полуфабрикаты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Затраты вспомогательного производства</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Итого</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3. Отклонения плановых сумм затрат на производство продукции от фактических, отраженных в бухгалтерском учете (знак "-" - превышение плановой стоимости над учетной (фактической), знак "+" - превышение учетной (фактической) стоимости над плановой)</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 затрат</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center"/>
            </w:pPr>
            <w:r>
              <w:t>Сумма отклонений плановых затрат от фактических (-/+)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материалы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Вспомогательные материалы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Полуфабрикаты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Заработная плата, страховые взносы</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Энергия, топливо</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r>
              <w:t>Затраты вспомогательного производства</w:t>
            </w: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4645"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29"/>
        <w:tblW w:w="10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1676"/>
        <w:gridCol w:w="312"/>
        <w:gridCol w:w="1999"/>
        <w:gridCol w:w="31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Председатель комиссии</w:t>
            </w:r>
          </w:p>
        </w:tc>
        <w:tc>
          <w:tcPr>
            <w:tcW w:w="1676"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Члены комиссии:</w:t>
            </w:r>
          </w:p>
        </w:tc>
        <w:tc>
          <w:tcPr>
            <w:tcW w:w="1676"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p>
            <w:pPr>
              <w:widowControl w:val="0"/>
              <w:autoSpaceDE w:val="0"/>
              <w:autoSpaceDN w:val="0"/>
              <w:adjustRightInd w:val="0"/>
              <w:spacing w:after="0" w:line="240" w:lineRule="auto"/>
              <w:jc w:val="center"/>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7050" w:type="dxa"/>
            <w:gridSpan w:val="5"/>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__</w:t>
            </w:r>
            <w:r>
              <w:rPr>
                <w:rFonts w:ascii="Times New Roman" w:hAnsi="Times New Roman"/>
                <w:sz w:val="24"/>
                <w:szCs w:val="24"/>
              </w:rPr>
              <w:t xml:space="preserve">" </w:t>
            </w:r>
            <w:r>
              <w:rPr>
                <w:rFonts w:ascii="Times New Roman" w:hAnsi="Times New Roman"/>
                <w:sz w:val="24"/>
                <w:szCs w:val="24"/>
                <w:lang w:val="en-US"/>
              </w:rPr>
              <w:t>_____________</w:t>
            </w:r>
            <w:r>
              <w:rPr>
                <w:rFonts w:ascii="Times New Roman" w:hAnsi="Times New Roman"/>
                <w:sz w:val="24"/>
                <w:szCs w:val="24"/>
              </w:rPr>
              <w:t xml:space="preserve"> </w:t>
            </w:r>
            <w:r>
              <w:rPr>
                <w:rFonts w:ascii="Times New Roman" w:hAnsi="Times New Roman"/>
                <w:sz w:val="24"/>
                <w:szCs w:val="24"/>
                <w:lang w:val="en-US"/>
              </w:rPr>
              <w:t>_____</w:t>
            </w:r>
            <w:r>
              <w:rPr>
                <w:rFonts w:ascii="Times New Roman" w:hAnsi="Times New Roman"/>
                <w:sz w:val="24"/>
                <w:szCs w:val="24"/>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2" w:type="dxa"/>
            <w:gridSpan w:val="6"/>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Указанные в настоящем акте данные и расчеты проверил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676"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p>
            <w:pPr>
              <w:widowControl w:val="0"/>
              <w:autoSpaceDE w:val="0"/>
              <w:autoSpaceDN w:val="0"/>
              <w:adjustRightInd w:val="0"/>
              <w:spacing w:after="0" w:line="240" w:lineRule="auto"/>
              <w:jc w:val="both"/>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tcBorders>
              <w:top w:val="nil"/>
              <w:left w:val="nil"/>
              <w:bottom w:val="nil"/>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7050" w:type="dxa"/>
            <w:gridSpan w:val="5"/>
            <w:tcBorders>
              <w:top w:val="nil"/>
              <w:left w:val="nil"/>
              <w:bottom w:val="nil"/>
              <w:right w:val="nil"/>
            </w:tcBorders>
          </w:tcPr>
          <w:p>
            <w:pPr>
              <w:widowControl w:val="0"/>
              <w:autoSpaceDE w:val="0"/>
              <w:autoSpaceDN w:val="0"/>
              <w:adjustRightInd w:val="0"/>
              <w:spacing w:after="0" w:line="240" w:lineRule="auto"/>
              <w:outlineLvl w:val="0"/>
              <w:rPr>
                <w:rFonts w:ascii="Times New Roman" w:hAnsi="Times New Roman"/>
                <w:sz w:val="24"/>
                <w:szCs w:val="24"/>
                <w:vertAlign w:val="superscript"/>
              </w:rPr>
            </w:pPr>
            <w:r>
              <w:rPr>
                <w:rFonts w:ascii="Times New Roman" w:hAnsi="Times New Roman"/>
                <w:sz w:val="24"/>
                <w:szCs w:val="24"/>
              </w:rPr>
              <w:t>"</w:t>
            </w:r>
            <w:r>
              <w:rPr>
                <w:rFonts w:ascii="Times New Roman" w:hAnsi="Times New Roman"/>
                <w:sz w:val="24"/>
                <w:szCs w:val="24"/>
                <w:lang w:val="en-US"/>
              </w:rPr>
              <w:t>__</w:t>
            </w:r>
            <w:r>
              <w:rPr>
                <w:rFonts w:ascii="Times New Roman" w:hAnsi="Times New Roman"/>
                <w:sz w:val="24"/>
                <w:szCs w:val="24"/>
              </w:rPr>
              <w:t xml:space="preserve">" </w:t>
            </w:r>
            <w:r>
              <w:rPr>
                <w:rFonts w:ascii="Times New Roman" w:hAnsi="Times New Roman"/>
                <w:sz w:val="24"/>
                <w:szCs w:val="24"/>
                <w:lang w:val="en-US"/>
              </w:rPr>
              <w:t>_____________</w:t>
            </w:r>
            <w:r>
              <w:rPr>
                <w:rFonts w:ascii="Times New Roman" w:hAnsi="Times New Roman"/>
                <w:sz w:val="24"/>
                <w:szCs w:val="24"/>
              </w:rPr>
              <w:t xml:space="preserve"> </w:t>
            </w:r>
            <w:r>
              <w:rPr>
                <w:rFonts w:ascii="Times New Roman" w:hAnsi="Times New Roman"/>
                <w:sz w:val="24"/>
                <w:szCs w:val="24"/>
                <w:lang w:val="en-US"/>
              </w:rPr>
              <w:t>_____</w:t>
            </w:r>
            <w:r>
              <w:rPr>
                <w:rFonts w:ascii="Times New Roman" w:hAnsi="Times New Roman"/>
                <w:sz w:val="24"/>
                <w:szCs w:val="24"/>
              </w:rPr>
              <w:t>г.</w:t>
            </w:r>
          </w:p>
        </w:tc>
      </w:tr>
    </w:tbl>
    <w:p>
      <w:pPr>
        <w:pStyle w:val="44"/>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1.3.11. Акт инвентаризации финансовых вложений</w:t>
      </w:r>
    </w:p>
    <w:p>
      <w:pPr>
        <w:pStyle w:val="44"/>
        <w:jc w:val="center"/>
        <w:rPr>
          <w:rFonts w:ascii="Times New Roman" w:hAnsi="Times New Roman" w:cs="Times New Roman"/>
          <w:sz w:val="24"/>
          <w:szCs w:val="24"/>
        </w:rPr>
      </w:pPr>
      <w:r>
        <w:rPr>
          <w:rFonts w:ascii="Times New Roman" w:hAnsi="Times New Roman" w:cs="Times New Roman"/>
          <w:b/>
          <w:bCs/>
          <w:sz w:val="24"/>
          <w:szCs w:val="24"/>
        </w:rPr>
        <w:t>(кроме ценных бумаг, хранящихся в кассе организации)</w:t>
      </w:r>
    </w:p>
    <w:p>
      <w:pPr>
        <w:pStyle w:val="44"/>
        <w:rPr>
          <w:rFonts w:ascii="Times New Roman" w:hAnsi="Times New Roman" w:cs="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3916"/>
        <w:gridCol w:w="3809"/>
        <w:gridCol w:w="1306"/>
        <w:gridCol w:w="1741"/>
      </w:tblGrid>
      <w:tr>
        <w:tblPrEx>
          <w:tblLayout w:type="fixed"/>
        </w:tblPrEx>
        <w:tc>
          <w:tcPr>
            <w:tcW w:w="10772" w:type="dxa"/>
            <w:gridSpan w:val="4"/>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Форма </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u w:val="single"/>
              </w:rPr>
              <w:t>ИНВ-ФВ</w:t>
            </w:r>
          </w:p>
        </w:tc>
      </w:tr>
      <w:tr>
        <w:tblPrEx>
          <w:tblLayout w:type="fixed"/>
          <w:tblCellMar>
            <w:top w:w="0" w:type="dxa"/>
            <w:left w:w="108" w:type="dxa"/>
            <w:bottom w:w="0" w:type="dxa"/>
            <w:right w:w="108" w:type="dxa"/>
          </w:tblCellMar>
        </w:tblPrEx>
        <w:tc>
          <w:tcPr>
            <w:tcW w:w="10772" w:type="dxa"/>
            <w:gridSpan w:val="4"/>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10772" w:type="dxa"/>
            <w:gridSpan w:val="4"/>
            <w:tcBorders>
              <w:top w:val="single" w:color="auto" w:sz="2" w:space="0"/>
              <w:left w:val="nil"/>
              <w:bottom w:val="single" w:color="auto" w:sz="2" w:space="0"/>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организация</w:t>
            </w:r>
          </w:p>
        </w:tc>
      </w:tr>
      <w:tr>
        <w:tblPrEx>
          <w:tblLayout w:type="fixed"/>
          <w:tblCellMar>
            <w:top w:w="0" w:type="dxa"/>
            <w:left w:w="108" w:type="dxa"/>
            <w:bottom w:w="0" w:type="dxa"/>
            <w:right w:w="108" w:type="dxa"/>
          </w:tblCellMar>
        </w:tblPrEx>
        <w:tc>
          <w:tcPr>
            <w:tcW w:w="10772" w:type="dxa"/>
            <w:gridSpan w:val="4"/>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подразделение</w:t>
            </w:r>
          </w:p>
        </w:tc>
      </w:tr>
      <w:tr>
        <w:tblPrEx>
          <w:tblLayout w:type="fixed"/>
          <w:tblCellMar>
            <w:top w:w="0" w:type="dxa"/>
            <w:left w:w="108" w:type="dxa"/>
            <w:bottom w:w="0" w:type="dxa"/>
            <w:right w:w="108" w:type="dxa"/>
          </w:tblCellMar>
        </w:tblPrEx>
        <w:tc>
          <w:tcPr>
            <w:tcW w:w="9031"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4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Вид деятельности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809" w:type="dxa"/>
            <w:vMerge w:val="restart"/>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приказ, постановление,</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распоряжение</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ненужное зачеркнуть</w:t>
            </w: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номер</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Основание для проведения</w:t>
            </w:r>
            <w:r>
              <w:rPr>
                <w:rFonts w:ascii="Times New Roman" w:hAnsi="Times New Roman"/>
                <w:sz w:val="24"/>
                <w:szCs w:val="24"/>
              </w:rPr>
              <w:br w:type="textWrapping"/>
            </w:r>
            <w:r>
              <w:rPr>
                <w:rFonts w:ascii="Times New Roman" w:hAnsi="Times New Roman"/>
                <w:sz w:val="24"/>
                <w:szCs w:val="24"/>
              </w:rPr>
              <w:t>инвентаризации:</w:t>
            </w:r>
          </w:p>
        </w:tc>
        <w:tc>
          <w:tcPr>
            <w:tcW w:w="3809" w:type="dxa"/>
            <w:vMerge w:val="continue"/>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w:t>
            </w:r>
          </w:p>
        </w:tc>
        <w:tc>
          <w:tcPr>
            <w:tcW w:w="1741" w:type="dxa"/>
            <w:vMerge w:val="restart"/>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916"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809" w:type="dxa"/>
            <w:vMerge w:val="continue"/>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306"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741" w:type="dxa"/>
            <w:vMerge w:val="continue"/>
            <w:tcBorders>
              <w:top w:val="single" w:color="auto" w:sz="2" w:space="0"/>
              <w:left w:val="single" w:color="auto" w:sz="2" w:space="0"/>
              <w:bottom w:val="single" w:color="auto" w:sz="2" w:space="0"/>
              <w:right w:val="single" w:color="auto" w:sz="2" w:space="0"/>
            </w:tcBorders>
            <w:vAlign w:val="center"/>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 начала инвентаризации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9031" w:type="dxa"/>
            <w:gridSpan w:val="3"/>
            <w:tcBorders>
              <w:top w:val="nil"/>
              <w:left w:val="nil"/>
              <w:bottom w:val="nil"/>
              <w:right w:val="single" w:color="auto" w:sz="2" w:space="0"/>
            </w:tcBorders>
          </w:tcPr>
          <w:p>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Дата окончания инвентаризации</w:t>
            </w:r>
          </w:p>
        </w:tc>
        <w:tc>
          <w:tcPr>
            <w:tcW w:w="1741"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bl>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29"/>
        <w:tblW w:w="10769" w:type="dxa"/>
        <w:tblInd w:w="0" w:type="dxa"/>
        <w:tblLayout w:type="fixed"/>
        <w:tblCellMar>
          <w:top w:w="0" w:type="dxa"/>
          <w:left w:w="108" w:type="dxa"/>
          <w:bottom w:w="0" w:type="dxa"/>
          <w:right w:w="108" w:type="dxa"/>
        </w:tblCellMar>
      </w:tblPr>
      <w:tblGrid>
        <w:gridCol w:w="7968"/>
        <w:gridCol w:w="1293"/>
        <w:gridCol w:w="1508"/>
      </w:tblGrid>
      <w:tr>
        <w:tblPrEx>
          <w:tblLayout w:type="fixed"/>
          <w:tblCellMar>
            <w:top w:w="0" w:type="dxa"/>
            <w:left w:w="108" w:type="dxa"/>
            <w:bottom w:w="0" w:type="dxa"/>
            <w:right w:w="108" w:type="dxa"/>
          </w:tblCellMar>
        </w:tblPrEx>
        <w:tc>
          <w:tcPr>
            <w:tcW w:w="7968"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293"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center"/>
              <w:outlineLvl w:val="0"/>
              <w:rPr>
                <w:rFonts w:ascii="Times New Roman" w:hAnsi="Times New Roman"/>
                <w:sz w:val="24"/>
                <w:szCs w:val="24"/>
                <w:lang w:val="en-US"/>
              </w:rPr>
            </w:pPr>
            <w:r>
              <w:rPr>
                <w:rFonts w:ascii="Times New Roman" w:hAnsi="Times New Roman"/>
                <w:sz w:val="24"/>
                <w:szCs w:val="24"/>
              </w:rPr>
              <w:t>Номер документа</w:t>
            </w:r>
          </w:p>
        </w:tc>
        <w:tc>
          <w:tcPr>
            <w:tcW w:w="1508"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Дата</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составления</w:t>
            </w:r>
          </w:p>
        </w:tc>
      </w:tr>
      <w:tr>
        <w:tblPrEx>
          <w:tblLayout w:type="fixed"/>
          <w:tblCellMar>
            <w:top w:w="0" w:type="dxa"/>
            <w:left w:w="108" w:type="dxa"/>
            <w:bottom w:w="0" w:type="dxa"/>
            <w:right w:w="108" w:type="dxa"/>
          </w:tblCellMar>
        </w:tblPrEx>
        <w:tc>
          <w:tcPr>
            <w:tcW w:w="7968" w:type="dxa"/>
            <w:tcBorders>
              <w:top w:val="nil"/>
              <w:left w:val="nil"/>
              <w:bottom w:val="nil"/>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293"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508" w:type="dxa"/>
            <w:tcBorders>
              <w:top w:val="single" w:color="auto" w:sz="2" w:space="0"/>
              <w:left w:val="single" w:color="auto" w:sz="2" w:space="0"/>
              <w:bottom w:val="single" w:color="auto" w:sz="2" w:space="0"/>
              <w:right w:val="single" w:color="auto" w:sz="2" w:space="0"/>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10769" w:type="dxa"/>
            <w:gridSpan w:val="3"/>
          </w:tcPr>
          <w:p>
            <w:pPr>
              <w:widowControl w:val="0"/>
              <w:autoSpaceDE w:val="0"/>
              <w:autoSpaceDN w:val="0"/>
              <w:adjustRightInd w:val="0"/>
              <w:spacing w:after="0" w:line="240" w:lineRule="auto"/>
              <w:jc w:val="both"/>
              <w:outlineLvl w:val="0"/>
              <w:rPr>
                <w:rFonts w:ascii="Times New Roman" w:hAnsi="Times New Roman"/>
                <w:sz w:val="24"/>
                <w:szCs w:val="24"/>
              </w:rPr>
            </w:pP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АКТ ИНВЕНТАРИЗАЦИИ</w:t>
            </w:r>
          </w:p>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финансовых вложений (кроме ценных бумаг,</w:t>
            </w:r>
          </w:p>
          <w:p>
            <w:pPr>
              <w:widowControl w:val="0"/>
              <w:autoSpaceDE w:val="0"/>
              <w:autoSpaceDN w:val="0"/>
              <w:adjustRightInd w:val="0"/>
              <w:spacing w:after="0" w:line="240" w:lineRule="auto"/>
              <w:jc w:val="center"/>
              <w:outlineLvl w:val="0"/>
              <w:rPr>
                <w:rFonts w:ascii="Times New Roman" w:hAnsi="Times New Roman"/>
                <w:sz w:val="24"/>
                <w:szCs w:val="24"/>
                <w:lang w:val="en-US"/>
              </w:rPr>
            </w:pPr>
            <w:r>
              <w:rPr>
                <w:rFonts w:ascii="Times New Roman" w:hAnsi="Times New Roman"/>
                <w:sz w:val="24"/>
                <w:szCs w:val="24"/>
              </w:rPr>
              <w:t>хранящихся в кассе организации)</w:t>
            </w:r>
          </w:p>
          <w:p>
            <w:pPr>
              <w:widowControl w:val="0"/>
              <w:autoSpaceDE w:val="0"/>
              <w:autoSpaceDN w:val="0"/>
              <w:adjustRightInd w:val="0"/>
              <w:spacing w:after="0" w:line="240" w:lineRule="auto"/>
              <w:jc w:val="both"/>
              <w:outlineLvl w:val="0"/>
              <w:rPr>
                <w:rFonts w:ascii="Times New Roman" w:hAnsi="Times New Roman"/>
                <w:sz w:val="24"/>
                <w:szCs w:val="24"/>
                <w:lang w:val="en-US"/>
              </w:rPr>
            </w:pPr>
          </w:p>
        </w:tc>
      </w:tr>
    </w:tbl>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Акт составлен комиссией в том, что по состоянию на "__" ______ 20__ г. проведена инвентаризация финансовых вложений, отличных от ценных бумаг, хранящихся в кассе организации и включаемых в инвентаризационную опись по унифицированной форме </w:t>
      </w:r>
      <w:r>
        <w:rPr>
          <w:rFonts w:ascii="Times New Roman" w:hAnsi="Times New Roman"/>
          <w:sz w:val="24"/>
          <w:szCs w:val="24"/>
          <w:lang w:val="ru-RU"/>
        </w:rPr>
        <w:t>№</w:t>
      </w:r>
      <w:r>
        <w:rPr>
          <w:rFonts w:ascii="Times New Roman" w:hAnsi="Times New Roman"/>
          <w:sz w:val="24"/>
          <w:szCs w:val="24"/>
        </w:rPr>
        <w:t xml:space="preserve"> ИНВ-16.</w:t>
      </w:r>
    </w:p>
    <w:p>
      <w:pPr>
        <w:widowControl w:val="0"/>
        <w:autoSpaceDE w:val="0"/>
        <w:autoSpaceDN w:val="0"/>
        <w:adjustRightInd w:val="0"/>
        <w:spacing w:after="0" w:line="240" w:lineRule="auto"/>
        <w:jc w:val="both"/>
        <w:outlineLvl w:val="0"/>
        <w:rPr>
          <w:rFonts w:ascii="Times New Roman" w:hAnsi="Times New Roman"/>
          <w:sz w:val="24"/>
          <w:szCs w:val="24"/>
          <w:lang w:val="en-US"/>
        </w:rPr>
      </w:pPr>
      <w:r>
        <w:rPr>
          <w:rFonts w:ascii="Times New Roman" w:hAnsi="Times New Roman"/>
          <w:sz w:val="24"/>
          <w:szCs w:val="24"/>
        </w:rPr>
        <w:t>При инвентаризации установлено следующее:</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8"/>
        <w:gridCol w:w="78"/>
        <w:gridCol w:w="1441"/>
        <w:gridCol w:w="1418"/>
        <w:gridCol w:w="1417"/>
        <w:gridCol w:w="1418"/>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rPr>
                <w:lang w:val="ru-RU"/>
              </w:rPr>
              <w:t>№</w:t>
            </w:r>
            <w:r>
              <w:t xml:space="preserve"> п/п</w:t>
            </w:r>
          </w:p>
        </w:tc>
        <w:tc>
          <w:tcPr>
            <w:tcW w:w="1458"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Вид финансового вложения</w:t>
            </w: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Первоначальная стоимость (руб., коп.)</w:t>
            </w: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Текущая рыночная стоимость на последнюю отчетную дату (если имеется)</w:t>
            </w:r>
          </w:p>
        </w:tc>
        <w:tc>
          <w:tcPr>
            <w:tcW w:w="1417"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Срок действия договора (в месяцах)</w:t>
            </w: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Доходность (% годовых)</w:t>
            </w: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Сумма дохода, признанного организацией на дату инвентаризации (кроме прироста стоимости) (руб., коп.)</w:t>
            </w:r>
          </w:p>
        </w:tc>
        <w:tc>
          <w:tcPr>
            <w:tcW w:w="1417"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Сумма резерва под обесценение (если резерв создавался)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1458"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1559"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5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5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5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5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19" w:type="dxa"/>
            <w:gridSpan w:val="2"/>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1" w:type="dxa"/>
            <w:gridSpan w:val="3"/>
            <w:tcBorders>
              <w:top w:val="single" w:color="auto" w:sz="6" w:space="0"/>
              <w:left w:val="nil"/>
              <w:bottom w:val="nil"/>
              <w:right w:val="single" w:color="auto" w:sz="6" w:space="0"/>
            </w:tcBorders>
          </w:tcPr>
          <w:p>
            <w:pPr>
              <w:pStyle w:val="45"/>
              <w:autoSpaceDE/>
              <w:jc w:val="right"/>
            </w:pPr>
            <w:r>
              <w:t>Итого</w:t>
            </w:r>
          </w:p>
        </w:tc>
        <w:tc>
          <w:tcPr>
            <w:tcW w:w="144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pPr>
            <w:r>
              <w:t>X</w:t>
            </w:r>
          </w:p>
        </w:tc>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X</w:t>
            </w:r>
          </w:p>
        </w:tc>
        <w:tc>
          <w:tcPr>
            <w:tcW w:w="1418" w:type="dxa"/>
            <w:tcBorders>
              <w:top w:val="single" w:color="auto" w:sz="6" w:space="0"/>
              <w:left w:val="single" w:color="auto" w:sz="6" w:space="0"/>
              <w:bottom w:val="single" w:color="auto" w:sz="6" w:space="0"/>
              <w:right w:val="single" w:color="auto" w:sz="6" w:space="0"/>
            </w:tcBorders>
          </w:tcPr>
          <w:p>
            <w:pPr>
              <w:pStyle w:val="45"/>
              <w:autoSpaceDE/>
              <w:jc w:val="center"/>
            </w:pPr>
            <w:r>
              <w:t>X</w:t>
            </w: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Все подсчеты итогов по строкам, страницам и в целом по акту инвентаризации проверены.</w:t>
      </w:r>
    </w:p>
    <w:p>
      <w:pPr>
        <w:widowControl w:val="0"/>
        <w:autoSpaceDE w:val="0"/>
        <w:autoSpaceDN w:val="0"/>
        <w:adjustRightInd w:val="0"/>
        <w:spacing w:after="0" w:line="240" w:lineRule="auto"/>
        <w:jc w:val="both"/>
        <w:outlineLvl w:val="0"/>
        <w:rPr>
          <w:rFonts w:ascii="Times New Roman" w:hAnsi="Times New Roman"/>
          <w:sz w:val="24"/>
          <w:szCs w:val="24"/>
        </w:rPr>
      </w:pPr>
    </w:p>
    <w:tbl>
      <w:tblPr>
        <w:tblStyle w:val="29"/>
        <w:tblW w:w="10772" w:type="dxa"/>
        <w:tblInd w:w="0" w:type="dxa"/>
        <w:tblLayout w:type="fixed"/>
        <w:tblCellMar>
          <w:top w:w="0" w:type="dxa"/>
          <w:left w:w="108" w:type="dxa"/>
          <w:bottom w:w="0" w:type="dxa"/>
          <w:right w:w="108" w:type="dxa"/>
        </w:tblCellMar>
      </w:tblPr>
      <w:tblGrid>
        <w:gridCol w:w="3722"/>
        <w:gridCol w:w="1676"/>
        <w:gridCol w:w="312"/>
        <w:gridCol w:w="1999"/>
        <w:gridCol w:w="312"/>
        <w:gridCol w:w="2751"/>
      </w:tblGrid>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Председатель комиссии</w:t>
            </w:r>
          </w:p>
        </w:tc>
        <w:tc>
          <w:tcPr>
            <w:tcW w:w="1676"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Члены комиссии:</w:t>
            </w:r>
          </w:p>
        </w:tc>
        <w:tc>
          <w:tcPr>
            <w:tcW w:w="1676"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2751"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7050" w:type="dxa"/>
            <w:gridSpan w:val="5"/>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__</w:t>
            </w:r>
            <w:r>
              <w:rPr>
                <w:rFonts w:ascii="Times New Roman" w:hAnsi="Times New Roman"/>
                <w:sz w:val="24"/>
                <w:szCs w:val="24"/>
              </w:rPr>
              <w:t xml:space="preserve">" </w:t>
            </w:r>
            <w:r>
              <w:rPr>
                <w:rFonts w:ascii="Times New Roman" w:hAnsi="Times New Roman"/>
                <w:sz w:val="24"/>
                <w:szCs w:val="24"/>
                <w:lang w:val="en-US"/>
              </w:rPr>
              <w:t>_____________</w:t>
            </w:r>
            <w:r>
              <w:rPr>
                <w:rFonts w:ascii="Times New Roman" w:hAnsi="Times New Roman"/>
                <w:sz w:val="24"/>
                <w:szCs w:val="24"/>
              </w:rPr>
              <w:t xml:space="preserve"> </w:t>
            </w:r>
            <w:r>
              <w:rPr>
                <w:rFonts w:ascii="Times New Roman" w:hAnsi="Times New Roman"/>
                <w:sz w:val="24"/>
                <w:szCs w:val="24"/>
                <w:lang w:val="en-US"/>
              </w:rPr>
              <w:t>_____</w:t>
            </w:r>
            <w:r>
              <w:rPr>
                <w:rFonts w:ascii="Times New Roman" w:hAnsi="Times New Roman"/>
                <w:sz w:val="24"/>
                <w:szCs w:val="24"/>
              </w:rPr>
              <w:t>г.</w:t>
            </w:r>
          </w:p>
        </w:tc>
      </w:tr>
      <w:tr>
        <w:tblPrEx>
          <w:tblLayout w:type="fixed"/>
          <w:tblCellMar>
            <w:top w:w="0" w:type="dxa"/>
            <w:left w:w="108" w:type="dxa"/>
            <w:bottom w:w="0" w:type="dxa"/>
            <w:right w:w="108" w:type="dxa"/>
          </w:tblCellMar>
        </w:tblPrEx>
        <w:tc>
          <w:tcPr>
            <w:tcW w:w="10772" w:type="dxa"/>
            <w:gridSpan w:val="6"/>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Указанные в настоящем акте данные и расчеты проверил</w:t>
            </w:r>
          </w:p>
        </w:tc>
      </w:tr>
      <w:tr>
        <w:tblPrEx>
          <w:tblLayout w:type="fixed"/>
          <w:tblCellMar>
            <w:top w:w="0" w:type="dxa"/>
            <w:left w:w="108" w:type="dxa"/>
            <w:bottom w:w="0" w:type="dxa"/>
            <w:right w:w="108" w:type="dxa"/>
          </w:tblCellMar>
        </w:tblPrEx>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1999"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p>
        </w:tc>
        <w:tc>
          <w:tcPr>
            <w:tcW w:w="2751" w:type="dxa"/>
            <w:tcBorders>
              <w:top w:val="nil"/>
              <w:left w:val="nil"/>
              <w:bottom w:val="single" w:color="auto" w:sz="2" w:space="0"/>
              <w:right w:val="nil"/>
            </w:tcBorders>
          </w:tcPr>
          <w:p>
            <w:pPr>
              <w:widowControl w:val="0"/>
              <w:autoSpaceDE w:val="0"/>
              <w:autoSpaceDN w:val="0"/>
              <w:adjustRightInd w:val="0"/>
              <w:spacing w:after="0" w:line="240" w:lineRule="auto"/>
              <w:jc w:val="both"/>
              <w:outlineLvl w:val="0"/>
              <w:rPr>
                <w:rFonts w:ascii="Times New Roman" w:hAnsi="Times New Roman"/>
                <w:sz w:val="24"/>
                <w:szCs w:val="24"/>
              </w:rPr>
            </w:pPr>
          </w:p>
        </w:tc>
      </w:tr>
      <w:tr>
        <w:tblPrEx>
          <w:tblLayout w:type="fixed"/>
          <w:tblCellMar>
            <w:top w:w="0" w:type="dxa"/>
            <w:left w:w="108" w:type="dxa"/>
            <w:bottom w:w="0" w:type="dxa"/>
            <w:right w:w="108" w:type="dxa"/>
          </w:tblCellMar>
        </w:tblPrEx>
        <w:trPr>
          <w:trHeight w:val="955" w:hRule="atLeast"/>
        </w:trPr>
        <w:tc>
          <w:tcPr>
            <w:tcW w:w="372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1676"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должность</w:t>
            </w:r>
          </w:p>
        </w:tc>
        <w:tc>
          <w:tcPr>
            <w:tcW w:w="312" w:type="dxa"/>
          </w:tcPr>
          <w:p>
            <w:pPr>
              <w:widowControl w:val="0"/>
              <w:autoSpaceDE w:val="0"/>
              <w:autoSpaceDN w:val="0"/>
              <w:adjustRightInd w:val="0"/>
              <w:spacing w:after="0" w:line="240" w:lineRule="auto"/>
              <w:jc w:val="center"/>
              <w:outlineLvl w:val="0"/>
              <w:rPr>
                <w:rFonts w:ascii="Times New Roman" w:hAnsi="Times New Roman"/>
                <w:sz w:val="24"/>
                <w:szCs w:val="24"/>
              </w:rPr>
            </w:pPr>
          </w:p>
        </w:tc>
        <w:tc>
          <w:tcPr>
            <w:tcW w:w="1999"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подпись</w:t>
            </w:r>
          </w:p>
        </w:tc>
        <w:tc>
          <w:tcPr>
            <w:tcW w:w="312" w:type="dxa"/>
          </w:tcPr>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w:t>
            </w:r>
          </w:p>
        </w:tc>
        <w:tc>
          <w:tcPr>
            <w:tcW w:w="2751" w:type="dxa"/>
            <w:tcBorders>
              <w:top w:val="single" w:color="auto" w:sz="2" w:space="0"/>
              <w:left w:val="nil"/>
              <w:bottom w:val="nil"/>
              <w:right w:val="nil"/>
            </w:tcBorders>
          </w:tcPr>
          <w:p>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расшифровка подписи</w:t>
            </w:r>
          </w:p>
          <w:p>
            <w:pPr>
              <w:widowControl w:val="0"/>
              <w:autoSpaceDE w:val="0"/>
              <w:autoSpaceDN w:val="0"/>
              <w:adjustRightInd w:val="0"/>
              <w:spacing w:after="0" w:line="240" w:lineRule="auto"/>
              <w:jc w:val="center"/>
              <w:outlineLvl w:val="0"/>
              <w:rPr>
                <w:rFonts w:ascii="Times New Roman" w:hAnsi="Times New Roman"/>
                <w:sz w:val="24"/>
                <w:szCs w:val="24"/>
              </w:rPr>
            </w:pPr>
          </w:p>
          <w:p>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__</w:t>
            </w:r>
            <w:r>
              <w:rPr>
                <w:rFonts w:ascii="Times New Roman" w:hAnsi="Times New Roman"/>
                <w:sz w:val="24"/>
                <w:szCs w:val="24"/>
              </w:rPr>
              <w:t xml:space="preserve">" </w:t>
            </w:r>
            <w:r>
              <w:rPr>
                <w:rFonts w:ascii="Times New Roman" w:hAnsi="Times New Roman"/>
                <w:sz w:val="24"/>
                <w:szCs w:val="24"/>
                <w:lang w:val="en-US"/>
              </w:rPr>
              <w:t>________</w:t>
            </w:r>
            <w:r>
              <w:rPr>
                <w:rFonts w:ascii="Times New Roman" w:hAnsi="Times New Roman"/>
                <w:sz w:val="24"/>
                <w:szCs w:val="24"/>
              </w:rPr>
              <w:t xml:space="preserve"> </w:t>
            </w:r>
            <w:r>
              <w:rPr>
                <w:rFonts w:ascii="Times New Roman" w:hAnsi="Times New Roman"/>
                <w:sz w:val="24"/>
                <w:szCs w:val="24"/>
                <w:lang w:val="en-US"/>
              </w:rPr>
              <w:t>____</w:t>
            </w:r>
            <w:r>
              <w:rPr>
                <w:rFonts w:ascii="Times New Roman" w:hAnsi="Times New Roman"/>
                <w:sz w:val="24"/>
                <w:szCs w:val="24"/>
              </w:rPr>
              <w:t xml:space="preserve"> г.</w:t>
            </w:r>
          </w:p>
        </w:tc>
      </w:tr>
    </w:tbl>
    <w:p>
      <w:pPr>
        <w:pStyle w:val="44"/>
        <w:jc w:val="center"/>
        <w:rPr>
          <w:rFonts w:ascii="Times New Roman" w:hAnsi="Times New Roman" w:cs="Times New Roman"/>
          <w:b/>
          <w:bCs/>
          <w:sz w:val="24"/>
          <w:szCs w:val="24"/>
        </w:rPr>
      </w:pPr>
    </w:p>
    <w:p>
      <w:pPr>
        <w:pStyle w:val="44"/>
        <w:jc w:val="center"/>
        <w:rPr>
          <w:rFonts w:ascii="Times New Roman" w:hAnsi="Times New Roman" w:cs="Times New Roman"/>
          <w:b/>
          <w:bCs/>
          <w:sz w:val="24"/>
          <w:szCs w:val="24"/>
        </w:rPr>
      </w:pPr>
      <w:r>
        <w:rPr>
          <w:rFonts w:ascii="Times New Roman" w:hAnsi="Times New Roman" w:cs="Times New Roman"/>
          <w:b/>
          <w:bCs/>
          <w:sz w:val="24"/>
          <w:szCs w:val="24"/>
        </w:rPr>
        <w:t>1.3.12. Путевой лист грузового автомобиля</w:t>
      </w:r>
    </w:p>
    <w:p>
      <w:pPr>
        <w:pStyle w:val="44"/>
        <w:jc w:val="center"/>
        <w:rPr>
          <w:rFonts w:ascii="Times New Roman" w:hAnsi="Times New Roman" w:cs="Times New Roman"/>
          <w:b/>
          <w:bCs/>
          <w:sz w:val="24"/>
          <w:szCs w:val="24"/>
        </w:rPr>
      </w:pPr>
    </w:p>
    <w:p>
      <w:pPr>
        <w:pStyle w:val="44"/>
        <w:jc w:val="center"/>
        <w:rPr>
          <w:rFonts w:ascii="Times New Roman" w:hAnsi="Times New Roman" w:cs="Times New Roman"/>
          <w:b/>
          <w:bCs/>
          <w:sz w:val="24"/>
          <w:szCs w:val="24"/>
        </w:rPr>
        <w:sectPr>
          <w:headerReference r:id="rId3" w:type="default"/>
          <w:pgSz w:w="11906" w:h="16838"/>
          <w:pgMar w:top="567" w:right="567" w:bottom="567" w:left="567" w:header="397" w:footer="0" w:gutter="0"/>
          <w:cols w:space="708" w:num="1"/>
          <w:docGrid w:linePitch="360" w:charSpace="0"/>
        </w:sectPr>
      </w:pPr>
    </w:p>
    <w:p>
      <w:pPr>
        <w:pStyle w:val="44"/>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9372600" cy="657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t="2512"/>
                    <a:stretch>
                      <a:fillRect/>
                    </a:stretch>
                  </pic:blipFill>
                  <pic:spPr>
                    <a:xfrm>
                      <a:off x="0" y="0"/>
                      <a:ext cx="9372600" cy="6572250"/>
                    </a:xfrm>
                    <a:prstGeom prst="rect">
                      <a:avLst/>
                    </a:prstGeom>
                    <a:noFill/>
                    <a:ln>
                      <a:noFill/>
                    </a:ln>
                  </pic:spPr>
                </pic:pic>
              </a:graphicData>
            </a:graphic>
          </wp:inline>
        </w:drawing>
      </w:r>
    </w:p>
    <w:p>
      <w:pPr>
        <w:pStyle w:val="44"/>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9290050" cy="4832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t="6021" r="9673"/>
                    <a:stretch>
                      <a:fillRect/>
                    </a:stretch>
                  </pic:blipFill>
                  <pic:spPr>
                    <a:xfrm>
                      <a:off x="0" y="0"/>
                      <a:ext cx="9290050" cy="4832350"/>
                    </a:xfrm>
                    <a:prstGeom prst="rect">
                      <a:avLst/>
                    </a:prstGeom>
                    <a:noFill/>
                    <a:ln>
                      <a:noFill/>
                    </a:ln>
                  </pic:spPr>
                </pic:pic>
              </a:graphicData>
            </a:graphic>
          </wp:inline>
        </w:drawing>
      </w:r>
    </w:p>
    <w:p>
      <w:pPr>
        <w:pStyle w:val="44"/>
        <w:rPr>
          <w:rFonts w:ascii="Times New Roman" w:hAnsi="Times New Roman" w:cs="Times New Roman"/>
          <w:sz w:val="24"/>
          <w:szCs w:val="24"/>
        </w:rPr>
      </w:pPr>
    </w:p>
    <w:p>
      <w:pPr>
        <w:pStyle w:val="44"/>
        <w:jc w:val="center"/>
        <w:rPr>
          <w:rFonts w:ascii="Times New Roman" w:hAnsi="Times New Roman" w:cs="Times New Roman"/>
          <w:b/>
          <w:bCs/>
          <w:sz w:val="24"/>
          <w:szCs w:val="24"/>
        </w:rPr>
        <w:sectPr>
          <w:pgSz w:w="16838" w:h="11906" w:orient="landscape"/>
          <w:pgMar w:top="567" w:right="567" w:bottom="567" w:left="567" w:header="397" w:footer="0" w:gutter="0"/>
          <w:cols w:space="708" w:num="1"/>
          <w:docGrid w:linePitch="360" w:charSpace="0"/>
        </w:sectPr>
      </w:pPr>
    </w:p>
    <w:p>
      <w:pPr>
        <w:pStyle w:val="44"/>
        <w:jc w:val="center"/>
        <w:rPr>
          <w:rFonts w:ascii="Times New Roman" w:hAnsi="Times New Roman" w:cs="Times New Roman"/>
          <w:sz w:val="24"/>
          <w:szCs w:val="24"/>
        </w:rPr>
      </w:pPr>
      <w:r>
        <w:rPr>
          <w:rFonts w:ascii="Times New Roman" w:hAnsi="Times New Roman" w:cs="Times New Roman"/>
          <w:b/>
          <w:bCs/>
          <w:sz w:val="24"/>
          <w:szCs w:val="24"/>
        </w:rPr>
        <w:t>2. Формы регистров бухгалтерского учета,</w:t>
      </w:r>
    </w:p>
    <w:p>
      <w:pPr>
        <w:pStyle w:val="44"/>
        <w:jc w:val="center"/>
        <w:rPr>
          <w:rFonts w:ascii="Times New Roman" w:hAnsi="Times New Roman" w:cs="Times New Roman"/>
          <w:sz w:val="24"/>
          <w:szCs w:val="24"/>
        </w:rPr>
      </w:pPr>
      <w:r>
        <w:rPr>
          <w:rFonts w:ascii="Times New Roman" w:hAnsi="Times New Roman" w:cs="Times New Roman"/>
          <w:b/>
          <w:bCs/>
          <w:sz w:val="24"/>
          <w:szCs w:val="24"/>
        </w:rPr>
        <w:t>применяемые организацией</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Применяются регистры, формируемые бухгалтерской программой X</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3. График документооборота</w:t>
      </w:r>
    </w:p>
    <w:p>
      <w:pPr>
        <w:pStyle w:val="44"/>
        <w:rPr>
          <w:rFonts w:ascii="Times New Roman" w:hAnsi="Times New Roman" w:cs="Times New Roman"/>
          <w:sz w:val="24"/>
          <w:szCs w:val="24"/>
        </w:rPr>
      </w:pPr>
    </w:p>
    <w:tbl>
      <w:tblPr>
        <w:tblStyle w:val="29"/>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560"/>
        <w:gridCol w:w="1275"/>
        <w:gridCol w:w="1560"/>
        <w:gridCol w:w="1275"/>
        <w:gridCol w:w="1276"/>
        <w:gridCol w:w="1559"/>
        <w:gridCol w:w="1418"/>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Первичный документ</w:t>
            </w:r>
          </w:p>
        </w:tc>
        <w:tc>
          <w:tcPr>
            <w:tcW w:w="5812" w:type="dxa"/>
            <w:gridSpan w:val="4"/>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Составление и подписание документа</w:t>
            </w:r>
          </w:p>
        </w:tc>
        <w:tc>
          <w:tcPr>
            <w:tcW w:w="2551" w:type="dxa"/>
            <w:gridSpan w:val="2"/>
            <w:tcBorders>
              <w:top w:val="single" w:color="auto" w:sz="6" w:space="0"/>
              <w:left w:val="single" w:color="auto" w:sz="6" w:space="0"/>
              <w:bottom w:val="single" w:color="auto" w:sz="6" w:space="0"/>
              <w:right w:val="single" w:color="auto" w:sz="6" w:space="0"/>
            </w:tcBorders>
          </w:tcPr>
          <w:p>
            <w:pPr>
              <w:pStyle w:val="45"/>
              <w:autoSpaceDE/>
              <w:ind w:left="-57" w:right="-57"/>
              <w:jc w:val="center"/>
            </w:pPr>
            <w:r>
              <w:t>Предоставление и проверка</w:t>
            </w:r>
          </w:p>
        </w:tc>
        <w:tc>
          <w:tcPr>
            <w:tcW w:w="2977" w:type="dxa"/>
            <w:gridSpan w:val="2"/>
            <w:tcBorders>
              <w:top w:val="single" w:color="auto" w:sz="6" w:space="0"/>
              <w:left w:val="single" w:color="auto" w:sz="6" w:space="0"/>
              <w:bottom w:val="single" w:color="auto" w:sz="6" w:space="0"/>
              <w:right w:val="single" w:color="auto" w:sz="6" w:space="0"/>
            </w:tcBorders>
          </w:tcPr>
          <w:p>
            <w:pPr>
              <w:pStyle w:val="45"/>
              <w:autoSpaceDE/>
              <w:ind w:left="-57" w:right="-57"/>
              <w:jc w:val="center"/>
            </w:pPr>
            <w:r>
              <w:t>Обработка документа</w:t>
            </w:r>
          </w:p>
        </w:tc>
        <w:tc>
          <w:tcPr>
            <w:tcW w:w="1559" w:type="dxa"/>
            <w:vMerge w:val="restart"/>
            <w:tcBorders>
              <w:top w:val="single" w:color="auto" w:sz="6" w:space="0"/>
              <w:left w:val="single" w:color="auto" w:sz="6" w:space="0"/>
              <w:bottom w:val="nil"/>
              <w:right w:val="single" w:color="auto" w:sz="6" w:space="0"/>
            </w:tcBorders>
          </w:tcPr>
          <w:p>
            <w:pPr>
              <w:pStyle w:val="45"/>
              <w:autoSpaceDE/>
              <w:ind w:left="-57" w:right="-57"/>
              <w:jc w:val="center"/>
            </w:pPr>
            <w:r>
              <w:t>Передача в архив (кто, в какой срок)</w:t>
            </w:r>
          </w:p>
        </w:tc>
        <w:tc>
          <w:tcPr>
            <w:tcW w:w="1418" w:type="dxa"/>
            <w:vMerge w:val="restart"/>
            <w:tcBorders>
              <w:top w:val="single" w:color="auto" w:sz="6" w:space="0"/>
              <w:left w:val="single" w:color="auto" w:sz="6" w:space="0"/>
              <w:bottom w:val="nil"/>
              <w:right w:val="single" w:color="auto" w:sz="6" w:space="0"/>
            </w:tcBorders>
          </w:tcPr>
          <w:p>
            <w:pPr>
              <w:pStyle w:val="45"/>
              <w:autoSpaceDE/>
              <w:ind w:left="-57" w:right="-57"/>
              <w:jc w:val="center"/>
            </w:pPr>
            <w: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ind w:left="-57" w:right="-57"/>
              <w:jc w:val="left"/>
              <w:rPr>
                <w:rFonts w:ascii="Times New Roman" w:hAnsi="Times New Roman" w:cs="Times New Roman"/>
                <w:sz w:val="24"/>
                <w:szCs w:val="24"/>
              </w:rPr>
            </w:pPr>
          </w:p>
        </w:tc>
        <w:tc>
          <w:tcPr>
            <w:tcW w:w="1417"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Когда составляется</w:t>
            </w:r>
          </w:p>
        </w:tc>
        <w:tc>
          <w:tcPr>
            <w:tcW w:w="1560"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Количество экземпляров (или вид электронной подписи)</w:t>
            </w:r>
          </w:p>
        </w:tc>
        <w:tc>
          <w:tcPr>
            <w:tcW w:w="1275"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Ответственный за составление</w:t>
            </w:r>
          </w:p>
        </w:tc>
        <w:tc>
          <w:tcPr>
            <w:tcW w:w="1560"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Кто подписывает (утверждает)</w:t>
            </w:r>
          </w:p>
        </w:tc>
        <w:tc>
          <w:tcPr>
            <w:tcW w:w="1275"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Срок предоставления в бухгалтерию</w:t>
            </w:r>
          </w:p>
        </w:tc>
        <w:tc>
          <w:tcPr>
            <w:tcW w:w="1276"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Ответственный за проверку</w:t>
            </w: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В каких регистрах (журналах) отражается</w:t>
            </w: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center"/>
            </w:pPr>
            <w:r>
              <w:t>Ответственный за обработку</w:t>
            </w:r>
          </w:p>
        </w:tc>
        <w:tc>
          <w:tcPr>
            <w:tcW w:w="1559" w:type="dxa"/>
            <w:vMerge w:val="continue"/>
            <w:tcBorders>
              <w:top w:val="nil"/>
              <w:left w:val="single" w:color="auto" w:sz="6" w:space="0"/>
              <w:bottom w:val="nil"/>
              <w:right w:val="single" w:color="auto" w:sz="6" w:space="0"/>
            </w:tcBorders>
          </w:tcPr>
          <w:p>
            <w:pPr>
              <w:pStyle w:val="44"/>
              <w:ind w:left="-57" w:right="-57"/>
              <w:jc w:val="left"/>
              <w:rPr>
                <w:rFonts w:ascii="Times New Roman" w:hAnsi="Times New Roman" w:cs="Times New Roman"/>
                <w:sz w:val="24"/>
                <w:szCs w:val="24"/>
              </w:rPr>
            </w:pPr>
          </w:p>
        </w:tc>
        <w:tc>
          <w:tcPr>
            <w:tcW w:w="1418" w:type="dxa"/>
            <w:vMerge w:val="continue"/>
            <w:tcBorders>
              <w:top w:val="nil"/>
              <w:left w:val="single" w:color="auto" w:sz="6" w:space="0"/>
              <w:bottom w:val="nil"/>
              <w:right w:val="single" w:color="auto" w:sz="6" w:space="0"/>
            </w:tcBorders>
          </w:tcPr>
          <w:p>
            <w:pPr>
              <w:pStyle w:val="44"/>
              <w:ind w:left="-57" w:right="-57"/>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ind w:left="-57" w:right="-57"/>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6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5"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276"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55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418"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p>
      <w:pPr>
        <w:pStyle w:val="44"/>
        <w:jc w:val="center"/>
        <w:rPr>
          <w:rFonts w:ascii="Times New Roman" w:hAnsi="Times New Roman" w:cs="Times New Roman"/>
          <w:b/>
          <w:bCs/>
          <w:sz w:val="24"/>
          <w:szCs w:val="24"/>
        </w:rPr>
        <w:sectPr>
          <w:pgSz w:w="16838" w:h="11906" w:orient="landscape"/>
          <w:pgMar w:top="567" w:right="567" w:bottom="567" w:left="567" w:header="397" w:footer="0" w:gutter="0"/>
          <w:cols w:space="708" w:num="1"/>
          <w:docGrid w:linePitch="360" w:charSpace="0"/>
        </w:sectPr>
      </w:pPr>
    </w:p>
    <w:p>
      <w:pPr>
        <w:pStyle w:val="44"/>
        <w:jc w:val="center"/>
        <w:rPr>
          <w:rFonts w:ascii="Times New Roman" w:hAnsi="Times New Roman" w:cs="Times New Roman"/>
          <w:b/>
          <w:bCs/>
          <w:sz w:val="24"/>
          <w:szCs w:val="24"/>
        </w:rPr>
      </w:pPr>
      <w:r>
        <w:rPr>
          <w:rFonts w:ascii="Times New Roman" w:hAnsi="Times New Roman" w:cs="Times New Roman"/>
          <w:b/>
          <w:bCs/>
          <w:sz w:val="24"/>
          <w:szCs w:val="24"/>
        </w:rPr>
        <w:t>4. Рабочий план счетов</w:t>
      </w:r>
    </w:p>
    <w:p>
      <w:pPr>
        <w:pStyle w:val="44"/>
        <w:jc w:val="center"/>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В рабочем плане счетов зафиксируйте все счета/субсчета бухгалтерского учета, которые вы применяете.</w:t>
      </w:r>
    </w:p>
    <w:p>
      <w:pPr>
        <w:pStyle w:val="44"/>
        <w:rPr>
          <w:rFonts w:ascii="Times New Roman" w:hAnsi="Times New Roman" w:cs="Times New Roman"/>
          <w:sz w:val="24"/>
          <w:szCs w:val="24"/>
        </w:rPr>
      </w:pPr>
    </w:p>
    <w:tbl>
      <w:tblPr>
        <w:tblStyle w:val="29"/>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center"/>
            </w:pPr>
            <w:r>
              <w:t>Код</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в организации, облагаемые налогом на имущество, налоговая база по которым определяется исходя из их среднегодовой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в организации, облагаемые налогом на имущество, налоговая база по которым определяется исходя из их кадастровой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01-1-3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в организации, не облагаемые налогом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переданные в аренду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переданные в аренду, облагаемые налогом на имущество, налоговая база по которым определяется исходя из их среднегодовой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переданные в аренду, облагаемые налогом на имущество, налоговая база по которым определяется исходя из их кадастровой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переданные в аренду, не облагаемые налогом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Существенные затраты на ремонты, техосмотр и техобслуживание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Выбытие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Право пользования активом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основным средствам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основным средствам в организации, облагаемым налогом на имущество, налоговая база по которым определяется исходя из их среднегодовой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основным средствам в организации, облагаемым налогом на имущество, налоговая база по которым определяется исходя из их кадастровой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02-1-3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основным средствам в организации, не облагаемым налогом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переданным в аренду основным средствам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переданным в аренду основным средствам, облагаемым налогом на имущество, налоговая база по которым определяется исходя из их среднегодовой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переданным в аренду основным средствам, облагаемым налогом на имущество, налоговая база по которым определяется исходя из их кадастровой 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по переданным в аренду основным средствам, не облагаемым налогом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права пользования активом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02-9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Обесценение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Нематериальные активы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04-1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Нематериальные активы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04-2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Используемые результаты НИОКР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нематериальных активов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05-1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Амортизация нематериальных активов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05-2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Обесценение нематериальных активов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Оборудование к установке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Вложения во внеоборотные активы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Приобретение земельных участков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Строительство объектов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Приобретение объектов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Приобретение нематериальных активов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Выполнение научно-исследовательских, опытно-конструкторских и технологических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08-9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Обесценение вложений во внеоборотные активы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Отложенные налоговые активы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Сырье и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Топливо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Тара и тарные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10-4-1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Многооборотная тара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10-4-2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Упаковка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10-4-3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Тарные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Запасные части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Строительные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Инвентарь и хозяйственные принадлежности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10-10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Специальная оснастка и специальная одежда на складе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под снижение стоимости материальных ценностей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14-1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под снижение стоимости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14-2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под снижение стоимости готовой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добавленную стоимость по приобретенным ценностям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основных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основных средств, подлежащий распределению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основных средств, принимаемый к вычету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19-1-3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основных средств, включаемый в их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нематериальных активов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нематериальных активов, подлежащий распределению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нематериальных активов, принимаемый к вычету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при приобретении нематериальных активов, включаемый в их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по приобретенным материально-производственным запасам, работам, услугам, имущественным правам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19-3-1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по приобретенным материально-производственным запасам, работам, услугам, имущественным правам, подлежащий распределению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19-3-2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по приобретенным материально-производственным запасам, работам, услугам, имущественным правам, принимаемый к вычету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19-3-3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по приобретенным материально-производственным запасам, работам, услугам, имущественным правам, включаемый в их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уплаченный таможенным органам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19-4-1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уплаченный таможенным органам, подлежащий распределению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19-4-2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уплаченный таможенным органам, принимаемый к вычету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19-4-3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уплаченный таможенным органам, включаемый в стоимость ввезенных товаров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Основное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Затраты на производство готовой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Затраты на производство полуфабрикатов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Полуфабрикаты собственного производства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Вспомогательные производства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23-1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Заготовительно-складское подразделение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23-2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Транспортный цех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23-3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Тарный цех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23-4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Прачечная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Общепроизводственные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25-1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Условно-постоянные общепроизводственные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25-2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Условно-переменные общепроизводственные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Общехозяйственные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28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Брак в производстве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Товары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Долгосрочные активы к продаже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Готовая продукция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43-1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Нормативная себестоимость готовой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43-2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Отклонения фактической производственной себестоимости готовой продукции от ее нормативной себестоимости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Расходы на продажу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45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Товары отгруженные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Касса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Касса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Касса организации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Касса организации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Операционная касса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50-3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Денежные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Расчетные 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Валютные 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Специальные счета в банках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55-1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Аккредитивы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55-2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Чековые книжки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55-3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Депозитные 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55-4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специальные 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Переводы в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57-1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Переводы в пути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57-2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Переводы в пути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Финансовые вложения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Паи и акции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Паи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Долговые ценные бумаги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58-3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Предоставленные займы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59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под обесценение финансовых вложений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поставщиками и подрядчиками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поставщиками и подрядчиками по исполненным ими договорам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поставщиками и подрядчиками по исполненным ими договорам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поставщиками и подрядчиками по исполненным ими договорам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авансам выданным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авансам и предоплатам, выданным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авансам и предоплатам, выданным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60-3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Векселя выданные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 по исполненным организацией договорам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 по исполненным организацией договорам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 по авансам полученным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 по авансам, полученным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покупателями и заказчиками по авансам, полученным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Векселя полученные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по сомнительным долгам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краткосрочным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краткосрочным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краткосрочным кредитам и займам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краткосрочным кредитам и займам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краткосрочным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краткосрочным кредитам и займам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66-2-2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краткосрочным кредитам и займам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долгосрочным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долгосрочным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долгосрочным кредитам и займам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Основная сумма долга по долгосрочным кредитам и займам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долгосрочным кредитам и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долгосрочным кредитам и займам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67-2-2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Проценты по долгосрочным кредитам и займам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налогам и сборам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доходы физических лиц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добавленную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прибыль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Транспортный налог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Земельный налог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68-ЕНП</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Единый налоговый платеж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социальному страхованию и обеспечению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69-1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страховым взносам (единый тариф)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69-4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обязательному социальному страхованию от несчастных случаев на производстве и профессиональных заболеваний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оплате труда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подотчетными лицами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подотчетными лицами (в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подотчетными лицами (в валюте)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прочим операциям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предоставленным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предоставленным беспроцентным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предоставленным процентным займам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возмещению материального ущерба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73-3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персоналом по прочим операциям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учредителями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75-1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вкладам в уставный капитал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75-2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выплате доходов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разными дебиторами и кредиторами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имущественному и личному страхованию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претензиям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причитающимся дивидендам и другим доходам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по депонированным суммам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76-5</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расчеты с разными дебиторами и кредиторами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Расчеты с получателями средств по исполнительным документам работников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НДС по авансам и предоплатам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76-8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Инвестиции в аренду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77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Отложенные налоговые обязательства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Уставный капитал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Собственные акции (доли)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Резервный капитал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Добавочный капитал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83-1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Прирост стоимости имущества по переоценке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83-2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Вклад в имущество общества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Нераспределенная прибыль (непокрытый убыток)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Целевое финансирование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86-1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Целевое финансирование из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86-2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Прочее целевое финансирование и поступления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Продажи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Выручка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Выручка от операций, облагаемых НДС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Выручка от операций, не облагаемых НДС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Себестоимость продаж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Себестоимость продаж, облагаемых НДС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Себестоимость продаж, не облагаемых НДС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добавленную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90-9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Прибыль/убыток от продаж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доходы и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доходы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расходы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91-9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Сальдо прочих доходов и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94</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Недостачи и потери от порчи ценностей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Резервы предстоящих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96-1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Оценочные обязательства по оплате отпусков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96-2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Прочие оценочные обязательства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Доходы будущих периодов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Прибыли и убытки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Прибыль (убыток)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Налог на прибыль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99-2-1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Условный расход/доход по налогу на прибыль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99-2-2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Постоянный налоговый расход/доход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99-2-3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Корректировка налога на прибыль и ОНА (ОНО) за предыдущие годы при выявлении несущественных ошибок прошлых лет, а также списание ОНА (ОНО) в предусмотренных ПБУ 18/02 случаях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Арендованные основные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Товарно-материальные ценности, принятые на ответственное хранение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Материалы, принятые в переработку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006</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Бланки строгой отчетности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007</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Списанная в убыток задолженность неплатежеспособных дебиторов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008</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Обеспечения обязательств и платежей полученные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009</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Обеспечения обязательств и платежей выданные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011</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Основные средства, сданные в аренду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012</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"Малоценные" НМА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Borders>
              <w:top w:val="single" w:color="auto" w:sz="6" w:space="0"/>
              <w:left w:val="single" w:color="auto" w:sz="6" w:space="0"/>
              <w:bottom w:val="single" w:color="auto" w:sz="6" w:space="0"/>
              <w:right w:val="single" w:color="auto" w:sz="6" w:space="0"/>
            </w:tcBorders>
          </w:tcPr>
          <w:p>
            <w:pPr>
              <w:pStyle w:val="45"/>
              <w:autoSpaceDE/>
              <w:jc w:val="left"/>
            </w:pPr>
            <w:r>
              <w:t>013</w:t>
            </w:r>
          </w:p>
        </w:tc>
        <w:tc>
          <w:tcPr>
            <w:tcW w:w="9606" w:type="dxa"/>
            <w:tcBorders>
              <w:top w:val="single" w:color="auto" w:sz="6" w:space="0"/>
              <w:left w:val="single" w:color="auto" w:sz="6" w:space="0"/>
              <w:bottom w:val="single" w:color="auto" w:sz="6" w:space="0"/>
              <w:right w:val="single" w:color="auto" w:sz="6" w:space="0"/>
            </w:tcBorders>
          </w:tcPr>
          <w:p>
            <w:pPr>
              <w:pStyle w:val="45"/>
              <w:autoSpaceDE/>
              <w:jc w:val="left"/>
            </w:pPr>
            <w:r>
              <w:t>Средства труда, не признаваемые объектами основных средств</w:t>
            </w:r>
          </w:p>
        </w:tc>
      </w:tr>
    </w:tbl>
    <w:p>
      <w:pPr>
        <w:pStyle w:val="44"/>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5. Формы бухгалтерской (финансовой) отчетности,</w:t>
      </w:r>
    </w:p>
    <w:p>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применяемые организацией</w:t>
      </w:r>
    </w:p>
    <w:p>
      <w:pPr>
        <w:autoSpaceDE w:val="0"/>
        <w:autoSpaceDN w:val="0"/>
        <w:adjustRightInd w:val="0"/>
        <w:spacing w:after="0" w:line="240" w:lineRule="auto"/>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Бухгалтерский баланс</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________________ 20__ г.</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6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766"/>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Организация</w:t>
            </w:r>
          </w:p>
        </w:tc>
        <w:tc>
          <w:tcPr>
            <w:tcW w:w="4775" w:type="dxa"/>
            <w:gridSpan w:val="2"/>
            <w:tcBorders>
              <w:top w:val="nil"/>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gridSpan w:val="2"/>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4009" w:type="dxa"/>
            <w:tcBorders>
              <w:top w:val="single" w:color="auto" w:sz="6" w:space="0"/>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тыс. руб.</w:t>
            </w:r>
          </w:p>
        </w:tc>
      </w:tr>
    </w:tbl>
    <w:p>
      <w:pPr>
        <w:autoSpaceDE w:val="0"/>
        <w:autoSpaceDN w:val="0"/>
        <w:adjustRightInd w:val="0"/>
        <w:spacing w:after="0" w:line="240" w:lineRule="auto"/>
        <w:jc w:val="both"/>
        <w:rPr>
          <w:rFonts w:ascii="Times New Roman" w:hAnsi="Times New Roman"/>
          <w:sz w:val="24"/>
          <w:szCs w:val="24"/>
        </w:rPr>
      </w:pPr>
    </w:p>
    <w:tbl>
      <w:tblPr>
        <w:tblStyle w:val="29"/>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454"/>
        <w:gridCol w:w="1171"/>
        <w:gridCol w:w="117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Пояснения</w:t>
            </w: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 20__ г.</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АКТИВ</w:t>
            </w: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I. Внеоборотные активы</w:t>
            </w:r>
          </w:p>
        </w:tc>
        <w:tc>
          <w:tcPr>
            <w:tcW w:w="1171" w:type="dxa"/>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Нематериальные активы</w:t>
            </w: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средства</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Финансовые вложения</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Отложенные налоговые активы</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внеоборотные активы</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Итого по разделу I</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II. Оборотные активы</w:t>
            </w: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Запасы</w:t>
            </w: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Долгосрочные активы к продаже</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Налог на добавленную стоимость по приобретенным ценностям</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Дебиторская задолженность</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Финансовые вложения (за исключением денежных эквивалентов)</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Денежные средства и денежные эквиваленты</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оборотные активы</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Итого по разделу II</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БАЛАНС</w:t>
            </w: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ПАССИВ</w:t>
            </w: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III. Капитал</w:t>
            </w:r>
          </w:p>
        </w:tc>
        <w:tc>
          <w:tcPr>
            <w:tcW w:w="1171" w:type="dxa"/>
            <w:tcBorders>
              <w:top w:val="nil"/>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Уставный капитал</w:t>
            </w: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Собственные акции, принадлежащие обществу, задолженность акционеров по оплате акций</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Накопленная дооценка внеоборотных активов</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Добавочный капитал (без накопленной дооценки)</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Резервный капитал</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Нераспределенная прибыль (непокрытый убыток)</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Итого по разделу III</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IV. Долгосрочные обязательства</w:t>
            </w: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Заемные средства</w:t>
            </w: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Отложенные налоговые обязательства</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Оценочные обязательства</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долгосрочные обязательства</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Итого по разделу IV</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V. Краткосрочные обязательства</w:t>
            </w: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Заемные средства</w:t>
            </w: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Кредиторская задолженность</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Оценочные обязательства</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краткосрочные обязательства</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Итого по разделу V</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445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БАЛАНС</w:t>
            </w: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340"/>
        <w:gridCol w:w="1531"/>
        <w:gridCol w:w="34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572"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 ___________ 20__ г.</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 о финансовых результатах</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________________ 20__ г.</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6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766"/>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Организация</w:t>
            </w:r>
          </w:p>
        </w:tc>
        <w:tc>
          <w:tcPr>
            <w:tcW w:w="4775" w:type="dxa"/>
            <w:gridSpan w:val="2"/>
            <w:tcBorders>
              <w:top w:val="nil"/>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gridSpan w:val="2"/>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4009" w:type="dxa"/>
            <w:tcBorders>
              <w:top w:val="single" w:color="auto" w:sz="6" w:space="0"/>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тыс. руб.</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5272"/>
        <w:gridCol w:w="128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2" w:hRule="atLeast"/>
        </w:trPr>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Пояснения</w:t>
            </w: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20__ г.</w:t>
            </w: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Выручка</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Себестоимость продаж</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Валовая прибыль (убыток)</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Коммерческие расходы</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Управленческие расходы</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Прибыль (убыток) от продаж</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Доходы от участия в других организациях</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Проценты к получению</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Проценты к уплате</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доходы</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расходы</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Прибыль (убыток) от продолжающейся деятельности до налогообложения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Налог на прибыль организаций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текущий налог на прибыль организаций</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отложенный налог на прибыль организаций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Прибыль (убыток) от прекращаемой деятельности (за вычетом относящегося к ней налога на прибыль организаций)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Чистая прибыль (убыток)</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Результат переоценки внеоборотных активов, не включаемый в чистую прибыль (убыток)</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Результат прочих операций, не включаемый в чистую прибыль (убыток)</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Налог на прибыль организаций, относящийся к результатам переоценки внеоборотных активов и прочих операций, не включаемых в чистую прибыль (убыток)</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Совокупный финансовый результат</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340"/>
        <w:gridCol w:w="1531"/>
        <w:gridCol w:w="34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572"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 ___________ 20__ г.</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sectPr>
          <w:pgSz w:w="11906" w:h="16838"/>
          <w:pgMar w:top="567" w:right="567" w:bottom="567" w:left="567" w:header="397" w:footer="0" w:gutter="0"/>
          <w:cols w:space="708" w:num="1"/>
          <w:docGrid w:linePitch="360" w:charSpace="0"/>
        </w:sectPr>
      </w:pPr>
    </w:p>
    <w:tbl>
      <w:tblPr>
        <w:tblStyle w:val="29"/>
        <w:tblW w:w="12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333"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 об изменениях капитала</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________________ 20__ г.</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76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8" w:type="dxa"/>
            <w:tcBorders>
              <w:top w:val="nil"/>
              <w:left w:val="nil"/>
              <w:bottom w:val="nil"/>
              <w:right w:val="nil"/>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Организация</w:t>
            </w:r>
          </w:p>
        </w:tc>
        <w:tc>
          <w:tcPr>
            <w:tcW w:w="7099" w:type="dxa"/>
            <w:gridSpan w:val="2"/>
            <w:tcBorders>
              <w:top w:val="nil"/>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gridSpan w:val="2"/>
            <w:tcBorders>
              <w:top w:val="nil"/>
              <w:left w:val="nil"/>
              <w:bottom w:val="nil"/>
              <w:right w:val="nil"/>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6333" w:type="dxa"/>
            <w:tcBorders>
              <w:top w:val="single" w:color="auto" w:sz="6" w:space="0"/>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тыс. руб.</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2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03"/>
        <w:gridCol w:w="850"/>
        <w:gridCol w:w="1783"/>
        <w:gridCol w:w="1222"/>
        <w:gridCol w:w="1329"/>
        <w:gridCol w:w="851"/>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Пояснения</w:t>
            </w: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Уставный капитал</w:t>
            </w: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Собственные доли, принадлежащие обществу, задолженность участников по оплате долей</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дооценка внеоборотных активов</w:t>
            </w: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Добавочный капитал (без накопленной дооценки)</w:t>
            </w: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Резервный капитал</w:t>
            </w: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Нераспределенная прибыль (непокрытый убыток)</w:t>
            </w: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Корректировка в связи с:</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изменением учетной политики</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исправлением ошибок</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center"/>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после корректировки</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 20__ г.</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Чистая прибыль (убыток)</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Переоценка внеоборотных активов</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Дивиденды</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Иные изменения за счет операций с собственниками (за исключением дивидендов) - всего</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 видам (указать вид)</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Реорганизация юридического лица</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Иные изменения - всего</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 видам (указать вид)</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 20__ г.</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Корректировка в связи с:</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изменением учетной политики</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исправлением ошибок</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после корректировки</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 20__ г.</w:t>
            </w:r>
          </w:p>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Чистая прибыль (убыток)</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Переоценка внеоборотных активов</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Дивиденды</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Иные изменения за счет операций с собственниками (за исключением дивидендов) - всего</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 видам (указать вид)</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Реорганизация юридического лица</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Иные изменения - всего</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 видам (указать вид)</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280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8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2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2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5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5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sectPr>
          <w:pgSz w:w="16838" w:h="11906" w:orient="landscape"/>
          <w:pgMar w:top="567" w:right="567" w:bottom="567" w:left="567" w:header="397" w:footer="0" w:gutter="0"/>
          <w:cols w:space="708" w:num="1"/>
          <w:docGrid w:linePitch="360" w:charSpace="0"/>
        </w:sect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340"/>
        <w:gridCol w:w="1531"/>
        <w:gridCol w:w="34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3572"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 ___________ 20__ г.</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 о движении денежных средств</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________________ 20__ г.</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6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636"/>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8" w:type="dxa"/>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Организация</w:t>
            </w:r>
          </w:p>
        </w:tc>
        <w:tc>
          <w:tcPr>
            <w:tcW w:w="4775" w:type="dxa"/>
            <w:gridSpan w:val="2"/>
            <w:tcBorders>
              <w:top w:val="nil"/>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gridSpan w:val="2"/>
            <w:tcBorders>
              <w:top w:val="nil"/>
              <w:left w:val="nil"/>
              <w:bottom w:val="nil"/>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4139" w:type="dxa"/>
            <w:tcBorders>
              <w:top w:val="single" w:color="auto" w:sz="6" w:space="0"/>
              <w:left w:val="nil"/>
              <w:bottom w:val="single" w:color="auto" w:sz="6" w:space="0"/>
              <w:right w:val="nil"/>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тыс. руб.</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5272"/>
        <w:gridCol w:w="128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Пояснения</w:t>
            </w: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2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 20__ г.</w:t>
            </w:r>
          </w:p>
        </w:tc>
        <w:tc>
          <w:tcPr>
            <w:tcW w:w="128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Денежные потоки от текущих операций</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Поступления - всего</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продажи продукции, товаров, выполнения работ, оказания услуг</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арендных платежей, роялти, комиссионных и иных аналогичных платежей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перепродажи финансовых вложений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процентов по дебиторской задолженности покупателей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поступления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Платежи - всего</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поставщикам (подрядчикам) за сырье, материалы, выполненные работы, оказанные услуги</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связи с оплатой труда работников</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процентов по долговым обязательствам</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налога на прибыль организаций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платежи</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Сальдо денежных потоков от текущих операций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Денежные потоки от инвестиционных операций</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Поступления - всего</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продажи внеоборотных активов (кроме финансовых вложений)</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продажи акций других организаций (долей участия)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возврата предоставленных займов, от продажи долговых ценных бумаг (прав требования денежных средств к другим лицам)</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дивидендов, процентов по долговым финансовым вложениям и аналогичных поступлений от долевого участия в других организациях</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поступления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Платежи - всего</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связи с приобретением, созданием, модернизацией, реконструкцией и подготовкой к использованию внеоборотных активов</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связи с приобретением акций других организаций (долей участия)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связи с приобретением долговых ценных бумаг (прав требования денежных средств к другим лицам), предоставление займов другим лицам</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процентов по долговым обязательствам, включаемым в стоимость инвестиционного актива</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платежи</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Сальдо денежных потоков от инвестиционных операций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Денежные потоки от финансовых операций</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Поступления - всего</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получение кредитов и займов</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денежных вкладов собственников (участников)</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выпуска акций, увеличения долей участия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от выпуска облигаций, векселей и других долговых ценных бумаг</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поступления</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Платежи - всего</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288"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собственникам (участникам) в связи с выкупом у них акций (долей участия) организации или их выходом из состава участников</w:t>
            </w:r>
          </w:p>
        </w:tc>
        <w:tc>
          <w:tcPr>
            <w:tcW w:w="128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на уплату дивидендов и иных платежей по распределению прибыли в пользу собственников (участников)</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связи с погашением (выкупом) векселей и других долговых ценных бумаг, возврат кредитов и займов</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прочие платежи</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Сальдо денежных потоков от финансовых операций</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Сальдо денежных потоков за период</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Остаток денежных средств и денежных эквивалентов на начало периода</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Остаток денежных средств и денежных эквивалентов на конец периода</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527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Величина влияния изменения курса иностранной валюты по отношению к рублю</w:t>
            </w:r>
          </w:p>
        </w:tc>
        <w:tc>
          <w:tcPr>
            <w:tcW w:w="12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28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340"/>
        <w:gridCol w:w="1531"/>
        <w:gridCol w:w="34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572"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 ___________ 20__ г.</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Пояснения к бухгалтерскому балансу и отчету о финансовых результатах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Нематериальные активы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нематериальных активов</w:t>
            </w:r>
          </w:p>
        </w:tc>
      </w:tr>
    </w:tbl>
    <w:p>
      <w:pPr>
        <w:autoSpaceDE w:val="0"/>
        <w:autoSpaceDN w:val="0"/>
        <w:adjustRightInd w:val="0"/>
        <w:spacing w:after="0" w:line="240" w:lineRule="auto"/>
        <w:jc w:val="both"/>
        <w:rPr>
          <w:rFonts w:ascii="Times New Roman" w:hAnsi="Times New Roman"/>
          <w:sz w:val="24"/>
          <w:szCs w:val="24"/>
        </w:rPr>
        <w:sectPr>
          <w:pgSz w:w="11906" w:h="16838"/>
          <w:pgMar w:top="567" w:right="567" w:bottom="567" w:left="567" w:header="397" w:footer="0" w:gutter="0"/>
          <w:cols w:space="708" w:num="1"/>
          <w:docGrid w:linePitch="360" w:charSpace="0"/>
        </w:sectPr>
      </w:pPr>
    </w:p>
    <w:tbl>
      <w:tblPr>
        <w:tblStyle w:val="29"/>
        <w:tblW w:w="11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304"/>
        <w:gridCol w:w="688"/>
        <w:gridCol w:w="688"/>
        <w:gridCol w:w="688"/>
        <w:gridCol w:w="688"/>
        <w:gridCol w:w="688"/>
        <w:gridCol w:w="688"/>
        <w:gridCol w:w="688"/>
        <w:gridCol w:w="688"/>
        <w:gridCol w:w="688"/>
        <w:gridCol w:w="688"/>
        <w:gridCol w:w="688"/>
        <w:gridCol w:w="68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6192" w:type="dxa"/>
            <w:gridSpan w:val="9"/>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37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амортизация</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переоценка</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90"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амортизация</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90"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Нематериальные активы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nil"/>
              <w:left w:val="single" w:color="auto" w:sz="6" w:space="0"/>
              <w:bottom w:val="single" w:color="auto" w:sz="6" w:space="0"/>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из них исключительные права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Нематериальные активы, созданные организацией</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304"/>
        <w:gridCol w:w="688"/>
        <w:gridCol w:w="688"/>
        <w:gridCol w:w="688"/>
        <w:gridCol w:w="688"/>
        <w:gridCol w:w="688"/>
        <w:gridCol w:w="688"/>
        <w:gridCol w:w="688"/>
        <w:gridCol w:w="688"/>
        <w:gridCol w:w="688"/>
        <w:gridCol w:w="688"/>
        <w:gridCol w:w="688"/>
        <w:gridCol w:w="68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6192" w:type="dxa"/>
            <w:gridSpan w:val="9"/>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37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амортизация</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переоценка</w:t>
            </w:r>
          </w:p>
        </w:tc>
        <w:tc>
          <w:tcPr>
            <w:tcW w:w="137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68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90"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амортизация</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88"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8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90"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Нематериальные активы, созданные организацией,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tcBorders>
              <w:top w:val="nil"/>
              <w:left w:val="single" w:color="auto" w:sz="6" w:space="0"/>
              <w:bottom w:val="single" w:color="auto" w:sz="6" w:space="0"/>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из них исключительные права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9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 Амортизируемые и неамортизируемые нематериальные активы</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141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Амортизируемые нематериальные активы - всего</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41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41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из них</w:t>
            </w:r>
          </w:p>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созданные организацией</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Неамортизируемые нематериальные активы - всего</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41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41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из них</w:t>
            </w:r>
          </w:p>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созданные организацией</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Нематериальные активы, в отношении которых имеются ограничения имущественных прав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141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Нематериальные активы, находящиеся в залоге, - всего</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41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41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Нематериальные активы, в отношении которых имеются ограничения по иным основаниям, - всего</w:t>
            </w:r>
          </w:p>
        </w:tc>
        <w:tc>
          <w:tcPr>
            <w:tcW w:w="141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41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9"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41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Капитальные вложения в нематериальные активы</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361"/>
        <w:gridCol w:w="975"/>
        <w:gridCol w:w="975"/>
        <w:gridCol w:w="975"/>
        <w:gridCol w:w="975"/>
        <w:gridCol w:w="975"/>
        <w:gridCol w:w="975"/>
        <w:gridCol w:w="97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6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950"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3900" w:type="dxa"/>
            <w:gridSpan w:val="4"/>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955"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6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фактические затраты</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накопленное обесценение</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затраты</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принято к учету в качестве нематериальных активов</w:t>
            </w:r>
          </w:p>
        </w:tc>
        <w:tc>
          <w:tcPr>
            <w:tcW w:w="97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фактические затраты</w:t>
            </w:r>
          </w:p>
        </w:tc>
        <w:tc>
          <w:tcPr>
            <w:tcW w:w="98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накопленное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приобретение нематериальных активов - всего</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6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создание нематериальных активов - всего</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 _____ 20__ г.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6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улучшение нематериальных активов - всего</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97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6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7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 Права на результаты интеллектуальной деятельности, средства индивидуализации, учитываемые на забалансовых счетах</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304"/>
        <w:gridCol w:w="994"/>
        <w:gridCol w:w="994"/>
        <w:gridCol w:w="994"/>
        <w:gridCol w:w="99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99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1988" w:type="dxa"/>
            <w:gridSpan w:val="2"/>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2071"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затраты</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фактическим затратам</w:t>
            </w: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рыночной стоимости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Средства индивидуализации, создаваемые собственными силами организации,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567"/>
              <w:rPr>
                <w:rFonts w:ascii="Times New Roman" w:hAnsi="Times New Roman"/>
                <w:sz w:val="24"/>
                <w:szCs w:val="24"/>
                <w:lang w:eastAsia="ru-RU"/>
              </w:rPr>
            </w:pPr>
            <w:r>
              <w:rPr>
                <w:rFonts w:ascii="Times New Roman" w:hAnsi="Times New Roman"/>
                <w:sz w:val="24"/>
                <w:szCs w:val="24"/>
                <w:lang w:eastAsia="ru-RU"/>
              </w:rPr>
              <w:t>из них</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p>
        </w:tc>
        <w:tc>
          <w:tcPr>
            <w:tcW w:w="1304" w:type="dxa"/>
            <w:vMerge w:val="restart"/>
            <w:tcBorders>
              <w:top w:val="nil"/>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721" w:type="dxa"/>
            <w:vMerge w:val="restart"/>
            <w:tcBorders>
              <w:top w:val="nil"/>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исключительные права</w:t>
            </w:r>
          </w:p>
        </w:tc>
        <w:tc>
          <w:tcPr>
            <w:tcW w:w="1304" w:type="dxa"/>
            <w:vMerge w:val="continue"/>
            <w:tcBorders>
              <w:top w:val="nil"/>
              <w:left w:val="single" w:color="auto" w:sz="6" w:space="0"/>
              <w:bottom w:val="nil"/>
              <w:right w:val="single" w:color="auto" w:sz="6" w:space="0"/>
            </w:tcBorders>
            <w:vAlign w:val="bottom"/>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07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Права на результаты интеллектуальной деятельности, средства индивидуализации, не отвечающие признакам нематериального актива,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single" w:color="auto" w:sz="6" w:space="0"/>
              <w:left w:val="single" w:color="auto" w:sz="6" w:space="0"/>
              <w:bottom w:val="nil"/>
              <w:right w:val="single" w:color="auto" w:sz="6" w:space="0"/>
            </w:tcBorders>
          </w:tcPr>
          <w:p>
            <w:pPr>
              <w:autoSpaceDN w:val="0"/>
              <w:adjustRightInd w:val="0"/>
              <w:spacing w:after="0" w:line="240" w:lineRule="auto"/>
              <w:ind w:left="567"/>
              <w:rPr>
                <w:rFonts w:ascii="Times New Roman" w:hAnsi="Times New Roman"/>
                <w:sz w:val="24"/>
                <w:szCs w:val="24"/>
                <w:lang w:eastAsia="ru-RU"/>
              </w:rPr>
            </w:pPr>
            <w:r>
              <w:rPr>
                <w:rFonts w:ascii="Times New Roman" w:hAnsi="Times New Roman"/>
                <w:sz w:val="24"/>
                <w:szCs w:val="24"/>
                <w:lang w:eastAsia="ru-RU"/>
              </w:rPr>
              <w:t>из них</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tcBorders>
              <w:top w:val="nil"/>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p>
        </w:tc>
        <w:tc>
          <w:tcPr>
            <w:tcW w:w="1304" w:type="dxa"/>
            <w:vMerge w:val="restart"/>
            <w:tcBorders>
              <w:top w:val="nil"/>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vMerge w:val="restart"/>
            <w:tcBorders>
              <w:top w:val="nil"/>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721" w:type="dxa"/>
            <w:vMerge w:val="restart"/>
            <w:tcBorders>
              <w:top w:val="nil"/>
              <w:left w:val="single" w:color="auto" w:sz="6" w:space="0"/>
              <w:bottom w:val="nil"/>
              <w:right w:val="single" w:color="auto" w:sz="6" w:space="0"/>
            </w:tcBorders>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исключительные права</w:t>
            </w:r>
          </w:p>
        </w:tc>
        <w:tc>
          <w:tcPr>
            <w:tcW w:w="1304" w:type="dxa"/>
            <w:vMerge w:val="continue"/>
            <w:tcBorders>
              <w:top w:val="nil"/>
              <w:left w:val="single" w:color="auto" w:sz="6" w:space="0"/>
              <w:bottom w:val="nil"/>
              <w:right w:val="single" w:color="auto" w:sz="6" w:space="0"/>
            </w:tcBorders>
            <w:vAlign w:val="bottom"/>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07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center"/>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9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6"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Основные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6"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основных средств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304"/>
        <w:gridCol w:w="671"/>
        <w:gridCol w:w="671"/>
        <w:gridCol w:w="671"/>
        <w:gridCol w:w="737"/>
        <w:gridCol w:w="671"/>
        <w:gridCol w:w="567"/>
        <w:gridCol w:w="567"/>
        <w:gridCol w:w="737"/>
        <w:gridCol w:w="671"/>
        <w:gridCol w:w="737"/>
        <w:gridCol w:w="671"/>
        <w:gridCol w:w="67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34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6029" w:type="dxa"/>
            <w:gridSpan w:val="9"/>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343"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140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56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амортизация</w:t>
            </w:r>
          </w:p>
        </w:tc>
        <w:tc>
          <w:tcPr>
            <w:tcW w:w="56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140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переоценка</w:t>
            </w:r>
          </w:p>
        </w:tc>
        <w:tc>
          <w:tcPr>
            <w:tcW w:w="140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6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72"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7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56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56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амортизация</w:t>
            </w:r>
          </w:p>
        </w:tc>
        <w:tc>
          <w:tcPr>
            <w:tcW w:w="73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(переоцененная) стоимость</w:t>
            </w:r>
          </w:p>
        </w:tc>
        <w:tc>
          <w:tcPr>
            <w:tcW w:w="67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6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72"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vMerge w:val="restart"/>
            <w:tcBorders>
              <w:top w:val="single" w:color="auto" w:sz="6" w:space="0"/>
              <w:left w:val="single" w:color="auto" w:sz="6" w:space="0"/>
              <w:bottom w:val="nil"/>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средства (за исключением инвестиционной недвижимости)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vMerge w:val="continue"/>
            <w:tcBorders>
              <w:top w:val="nil"/>
              <w:left w:val="single" w:color="auto" w:sz="6" w:space="0"/>
              <w:bottom w:val="nil"/>
              <w:right w:val="single" w:color="auto" w:sz="6" w:space="0"/>
            </w:tcBorders>
            <w:vAlign w:val="bottom"/>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7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Наличие и движение прав пользования активами</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304"/>
        <w:gridCol w:w="791"/>
        <w:gridCol w:w="791"/>
        <w:gridCol w:w="791"/>
        <w:gridCol w:w="791"/>
        <w:gridCol w:w="850"/>
        <w:gridCol w:w="791"/>
        <w:gridCol w:w="791"/>
        <w:gridCol w:w="791"/>
        <w:gridCol w:w="791"/>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58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5596" w:type="dxa"/>
            <w:gridSpan w:val="7"/>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58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(переоцененная) стоимость</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 (с учетом пересмотра фактической стоимости)</w:t>
            </w:r>
          </w:p>
        </w:tc>
        <w:tc>
          <w:tcPr>
            <w:tcW w:w="1641"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 (с учетом пересмотра фактической стоимости)</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амортизация</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158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переоценка</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(переоцененная) стоимость</w:t>
            </w:r>
          </w:p>
        </w:tc>
        <w:tc>
          <w:tcPr>
            <w:tcW w:w="7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(переоцененная) стоимость</w:t>
            </w:r>
          </w:p>
        </w:tc>
        <w:tc>
          <w:tcPr>
            <w:tcW w:w="8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накопленные амортизация и обесценение</w:t>
            </w: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(переоцененная) стоимость</w:t>
            </w:r>
          </w:p>
        </w:tc>
        <w:tc>
          <w:tcPr>
            <w:tcW w:w="7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амортизация</w:t>
            </w: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Права пользования активами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8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nil"/>
              <w:right w:val="single" w:color="auto" w:sz="6" w:space="0"/>
            </w:tcBorders>
          </w:tcPr>
          <w:p>
            <w:pPr>
              <w:autoSpaceDN w:val="0"/>
              <w:adjustRightInd w:val="0"/>
              <w:spacing w:after="0" w:line="240" w:lineRule="auto"/>
              <w:ind w:left="283"/>
              <w:jc w:val="both"/>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5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jc w:val="both"/>
              <w:rPr>
                <w:rFonts w:ascii="Times New Roman" w:hAnsi="Times New Roman"/>
                <w:sz w:val="24"/>
                <w:szCs w:val="24"/>
                <w:lang w:eastAsia="ru-RU"/>
              </w:rPr>
            </w:pPr>
            <w:r>
              <w:rPr>
                <w:rFonts w:ascii="Times New Roman" w:hAnsi="Times New Roman"/>
                <w:sz w:val="24"/>
                <w:szCs w:val="24"/>
                <w:lang w:eastAsia="ru-RU"/>
              </w:rPr>
              <w:t>(объект)</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 Амортизируемые и неамортизируемые основные средства</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1361"/>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Амортизируемые основные средства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Неамортизируемые основные средства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используемые для реализации законодательства Российской Федерации о мобилизационной подготовке и мобилизации, которые законсервированы</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основные средства, потребительские свойства которых с течением времени не изменяются</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 объект)</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Основные средства, в отношении которых имеются ограничения использования</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1361"/>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средства, пригодные для использования, но не используемые (когда это не связано с сезонными особенностями деятельности организации)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средства, в отношении использования которых имеются ограничения имущественных прав организации,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из них</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vAlign w:val="center"/>
          </w:tcPr>
          <w:p>
            <w:pPr>
              <w:autoSpaceDN w:val="0"/>
              <w:adjustRightInd w:val="0"/>
              <w:spacing w:after="0" w:line="240" w:lineRule="auto"/>
              <w:ind w:left="566"/>
              <w:rPr>
                <w:rFonts w:ascii="Times New Roman" w:hAnsi="Times New Roman"/>
                <w:sz w:val="24"/>
                <w:szCs w:val="24"/>
                <w:lang w:eastAsia="ru-RU"/>
              </w:rPr>
            </w:pPr>
            <w:r>
              <w:rPr>
                <w:rFonts w:ascii="Times New Roman" w:hAnsi="Times New Roman"/>
                <w:sz w:val="24"/>
                <w:szCs w:val="24"/>
                <w:lang w:eastAsia="ru-RU"/>
              </w:rPr>
              <w:t>основные средства, находящиеся в залоге</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Капитальные вложения в основные средства (за исключением инвестиционной недвижимости)</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304"/>
        <w:gridCol w:w="624"/>
        <w:gridCol w:w="680"/>
        <w:gridCol w:w="624"/>
        <w:gridCol w:w="624"/>
        <w:gridCol w:w="747"/>
        <w:gridCol w:w="1020"/>
        <w:gridCol w:w="62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304"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3015" w:type="dxa"/>
            <w:gridSpan w:val="4"/>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304"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фактические затраты</w:t>
            </w:r>
          </w:p>
        </w:tc>
        <w:tc>
          <w:tcPr>
            <w:tcW w:w="68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накопленное обесценение</w:t>
            </w:r>
          </w:p>
        </w:tc>
        <w:tc>
          <w:tcPr>
            <w:tcW w:w="6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затраты</w:t>
            </w:r>
          </w:p>
        </w:tc>
        <w:tc>
          <w:tcPr>
            <w:tcW w:w="6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обесценение</w:t>
            </w:r>
          </w:p>
        </w:tc>
        <w:tc>
          <w:tcPr>
            <w:tcW w:w="74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102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принято к учету в качестве основных средств</w:t>
            </w:r>
          </w:p>
        </w:tc>
        <w:tc>
          <w:tcPr>
            <w:tcW w:w="6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фактические затраты</w:t>
            </w:r>
          </w:p>
        </w:tc>
        <w:tc>
          <w:tcPr>
            <w:tcW w:w="68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накопленное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приобретение основных средств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создание основных средств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1020"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Капитальные вложения на улучшение и восстановление основных средств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1020"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62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4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02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Финансовые вложения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финансовых вложений</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304"/>
        <w:gridCol w:w="874"/>
        <w:gridCol w:w="874"/>
        <w:gridCol w:w="737"/>
        <w:gridCol w:w="874"/>
        <w:gridCol w:w="874"/>
        <w:gridCol w:w="1077"/>
        <w:gridCol w:w="874"/>
        <w:gridCol w:w="874"/>
        <w:gridCol w:w="87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7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5310" w:type="dxa"/>
            <w:gridSpan w:val="6"/>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75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стоимость</w:t>
            </w:r>
          </w:p>
        </w:tc>
        <w:tc>
          <w:tcPr>
            <w:tcW w:w="87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корректировка</w:t>
            </w:r>
          </w:p>
        </w:tc>
        <w:tc>
          <w:tcPr>
            <w:tcW w:w="73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17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107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проценты (включая доведение первоначальной стоимости до номинальной)</w:t>
            </w:r>
          </w:p>
        </w:tc>
        <w:tc>
          <w:tcPr>
            <w:tcW w:w="87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текущей рыночной стоимости/резерва под обесценение</w:t>
            </w:r>
          </w:p>
        </w:tc>
        <w:tc>
          <w:tcPr>
            <w:tcW w:w="87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87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стоимость</w:t>
            </w:r>
          </w:p>
        </w:tc>
        <w:tc>
          <w:tcPr>
            <w:tcW w:w="878"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корректировка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3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первоначальная стоимость</w:t>
            </w:r>
          </w:p>
        </w:tc>
        <w:tc>
          <w:tcPr>
            <w:tcW w:w="87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накопленная корректировка</w:t>
            </w:r>
          </w:p>
        </w:tc>
        <w:tc>
          <w:tcPr>
            <w:tcW w:w="107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78"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Долгосрочные финансовые вложения - всего</w:t>
            </w: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 группа)</w:t>
            </w: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Краткосрочные финансовые вложения - всего</w:t>
            </w: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p>
        </w:tc>
        <w:tc>
          <w:tcPr>
            <w:tcW w:w="130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 группа)</w:t>
            </w: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78"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Иное использование финансовых вложений</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1361"/>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Финансовые вложения, находящиеся в залоге,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 группа)</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Финансовые вложения, переданные третьим лицам (кроме продажи), - всего</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61"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 группа)</w:t>
            </w:r>
          </w:p>
        </w:tc>
        <w:tc>
          <w:tcPr>
            <w:tcW w:w="1361"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5"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Иное использование финансовых вложений</w:t>
            </w:r>
          </w:p>
        </w:tc>
        <w:tc>
          <w:tcPr>
            <w:tcW w:w="136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58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Запасы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7"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запасов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304"/>
        <w:gridCol w:w="824"/>
        <w:gridCol w:w="824"/>
        <w:gridCol w:w="824"/>
        <w:gridCol w:w="824"/>
        <w:gridCol w:w="824"/>
        <w:gridCol w:w="824"/>
        <w:gridCol w:w="824"/>
        <w:gridCol w:w="824"/>
        <w:gridCol w:w="82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6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4944" w:type="dxa"/>
            <w:gridSpan w:val="6"/>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657"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себестоимость</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под обесценение</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затраты</w:t>
            </w:r>
          </w:p>
        </w:tc>
        <w:tc>
          <w:tcPr>
            <w:tcW w:w="16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под обесценение</w:t>
            </w:r>
          </w:p>
        </w:tc>
        <w:tc>
          <w:tcPr>
            <w:tcW w:w="16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видов запасов</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себестоимость</w:t>
            </w:r>
          </w:p>
        </w:tc>
        <w:tc>
          <w:tcPr>
            <w:tcW w:w="833"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под обесценение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себестоимость</w:t>
            </w: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под обесценение</w:t>
            </w: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фактическая себестоимость</w:t>
            </w: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под обесценение</w:t>
            </w: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33"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Запасы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Запасы, в отношении которых имеются ограничения имущественных прав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1650"/>
        <w:gridCol w:w="165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Запасы, находящиеся в пути, - всего</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Запасы, находящиеся в залоге, - всего</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Дебиторская задолженность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дебиторской задолженности</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11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304"/>
        <w:gridCol w:w="824"/>
        <w:gridCol w:w="824"/>
        <w:gridCol w:w="907"/>
        <w:gridCol w:w="794"/>
        <w:gridCol w:w="794"/>
        <w:gridCol w:w="824"/>
        <w:gridCol w:w="824"/>
        <w:gridCol w:w="794"/>
        <w:gridCol w:w="82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648"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4937" w:type="dxa"/>
            <w:gridSpan w:val="6"/>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минусом дебиторской задолженности, поступившей и погашенной (списанной) в одном отчетном периоде)</w:t>
            </w:r>
          </w:p>
        </w:tc>
        <w:tc>
          <w:tcPr>
            <w:tcW w:w="1657"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условиям договора</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 сомнительным долгам</w:t>
            </w:r>
          </w:p>
        </w:tc>
        <w:tc>
          <w:tcPr>
            <w:tcW w:w="1701"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2442" w:type="dxa"/>
            <w:gridSpan w:val="3"/>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79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82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условиям договора</w:t>
            </w:r>
          </w:p>
        </w:tc>
        <w:tc>
          <w:tcPr>
            <w:tcW w:w="833"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резерв по сомнительным долгам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результате фактов хозяйственной жизни (по условиям договора)</w:t>
            </w:r>
          </w:p>
        </w:tc>
        <w:tc>
          <w:tcPr>
            <w:tcW w:w="7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проценты, штрафы и иные начисления</w:t>
            </w:r>
          </w:p>
        </w:tc>
        <w:tc>
          <w:tcPr>
            <w:tcW w:w="79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погашено</w:t>
            </w: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расходы</w:t>
            </w:r>
          </w:p>
        </w:tc>
        <w:tc>
          <w:tcPr>
            <w:tcW w:w="82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восстановление резерва</w:t>
            </w:r>
          </w:p>
        </w:tc>
        <w:tc>
          <w:tcPr>
            <w:tcW w:w="7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2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33"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Долгосрочная дебиторская задолженность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Краткосрочная дебиторская задолженность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7"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82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83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Просроченная дебиторская задолженность</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213"/>
        <w:gridCol w:w="1213"/>
        <w:gridCol w:w="1213"/>
        <w:gridCol w:w="1213"/>
        <w:gridCol w:w="121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57"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242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20__ г.</w:t>
            </w:r>
          </w:p>
        </w:tc>
        <w:tc>
          <w:tcPr>
            <w:tcW w:w="2426"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20__ г.</w:t>
            </w:r>
          </w:p>
        </w:tc>
        <w:tc>
          <w:tcPr>
            <w:tcW w:w="2427"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w:t>
            </w:r>
          </w:p>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условиям договора</w:t>
            </w: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балансовая стоимость</w:t>
            </w: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условиям договора</w:t>
            </w: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балансовая стоимость</w:t>
            </w: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условиям договора</w:t>
            </w:r>
          </w:p>
        </w:tc>
        <w:tc>
          <w:tcPr>
            <w:tcW w:w="121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балансовая стоимость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213"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4"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213"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3"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214"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Обязательства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Наличие и движение обязательств (за исключением оценочных обязательств)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301"/>
        <w:gridCol w:w="680"/>
        <w:gridCol w:w="1474"/>
        <w:gridCol w:w="907"/>
        <w:gridCol w:w="680"/>
        <w:gridCol w:w="737"/>
        <w:gridCol w:w="73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680"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4535" w:type="dxa"/>
            <w:gridSpan w:val="5"/>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 (за минусом обязательств, поступивших и списанных в одном отчетном периоде)</w:t>
            </w:r>
          </w:p>
        </w:tc>
        <w:tc>
          <w:tcPr>
            <w:tcW w:w="79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1"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0"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2381"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поступило</w:t>
            </w:r>
          </w:p>
        </w:tc>
        <w:tc>
          <w:tcPr>
            <w:tcW w:w="1417"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73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переклассифицировано</w:t>
            </w:r>
          </w:p>
        </w:tc>
        <w:tc>
          <w:tcPr>
            <w:tcW w:w="7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680"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результате фактов хозяйственной жизни (по условиям договора)</w:t>
            </w:r>
          </w:p>
        </w:tc>
        <w:tc>
          <w:tcPr>
            <w:tcW w:w="90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проценты, штрафы и иные начисления</w:t>
            </w:r>
          </w:p>
        </w:tc>
        <w:tc>
          <w:tcPr>
            <w:tcW w:w="68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погашено</w:t>
            </w:r>
          </w:p>
        </w:tc>
        <w:tc>
          <w:tcPr>
            <w:tcW w:w="737"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доходы</w:t>
            </w:r>
          </w:p>
        </w:tc>
        <w:tc>
          <w:tcPr>
            <w:tcW w:w="73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79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Долгосрочные обязательства - всего</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Краткосрочные обязательства - всего</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 _____ 20__ г. </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 _____ 20__ г. </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47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90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68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X</w:t>
            </w:r>
          </w:p>
        </w:tc>
        <w:tc>
          <w:tcPr>
            <w:tcW w:w="79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Просроченные обязательства (за исключением оценочных обязательств)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1650"/>
        <w:gridCol w:w="165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 Оценочные обязательства</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304"/>
        <w:gridCol w:w="850"/>
        <w:gridCol w:w="1077"/>
        <w:gridCol w:w="1331"/>
        <w:gridCol w:w="133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850"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3739" w:type="dxa"/>
            <w:gridSpan w:val="3"/>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13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50"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077"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признано</w:t>
            </w:r>
          </w:p>
        </w:tc>
        <w:tc>
          <w:tcPr>
            <w:tcW w:w="2662"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списано</w:t>
            </w:r>
          </w:p>
        </w:tc>
        <w:tc>
          <w:tcPr>
            <w:tcW w:w="113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850"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077"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3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погашено</w:t>
            </w:r>
          </w:p>
        </w:tc>
        <w:tc>
          <w:tcPr>
            <w:tcW w:w="133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как избыточная сумма</w:t>
            </w:r>
          </w:p>
        </w:tc>
        <w:tc>
          <w:tcPr>
            <w:tcW w:w="113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Оценочные обязательства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(группа)</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850"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077"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3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sectPr>
          <w:pgSz w:w="16838" w:h="11906" w:orient="landscape"/>
          <w:pgMar w:top="567" w:right="567" w:bottom="567" w:left="567" w:header="397" w:footer="0" w:gutter="0"/>
          <w:cols w:space="708" w:num="1"/>
          <w:docGrid w:linePitch="360" w:charSpace="0"/>
        </w:sect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Обеспечения обязательств</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1650"/>
        <w:gridCol w:w="165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_______ 20__ г.</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31 декабря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Полученные - всего</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nil"/>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Выданные - всего</w:t>
            </w: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2" w:type="dxa"/>
            <w:tcBorders>
              <w:top w:val="nil"/>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(вид)</w:t>
            </w: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652"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Расходы по обычным видам деятельности</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 20__ г.</w:t>
            </w: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Материальные затраты</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Затраты на оплату труда</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Отчисления на социальные нужды</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Амортизация</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Прочие затраты</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Итого по элементам</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Изменение остатков (прирост [-], уменьшение [+]):</w:t>
            </w:r>
          </w:p>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незавершенного производства, готовой продукции</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Итого расходы по обычным видам деятельности</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Государственная помощь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Бюджетные средства</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 20__ г.</w:t>
            </w: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 ________ 20__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Получено бюджетных средств - всего</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nil"/>
              <w:right w:val="single" w:color="auto" w:sz="6" w:space="0"/>
            </w:tcBorders>
            <w:vAlign w:val="center"/>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699"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на финансирование капитальных затрат</w:t>
            </w:r>
          </w:p>
        </w:tc>
        <w:tc>
          <w:tcPr>
            <w:tcW w:w="1699"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на финансирование текущих расходов</w:t>
            </w:r>
          </w:p>
        </w:tc>
        <w:tc>
          <w:tcPr>
            <w:tcW w:w="1699"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700"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Borders>
              <w:top w:val="nil"/>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Бюджетные кредиты</w:t>
            </w: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04"/>
        <w:gridCol w:w="1191"/>
        <w:gridCol w:w="1191"/>
        <w:gridCol w:w="13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Merge w:val="restart"/>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30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w:t>
            </w:r>
          </w:p>
        </w:tc>
        <w:tc>
          <w:tcPr>
            <w:tcW w:w="1191"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начало года</w:t>
            </w:r>
          </w:p>
        </w:tc>
        <w:tc>
          <w:tcPr>
            <w:tcW w:w="2554" w:type="dxa"/>
            <w:gridSpan w:val="2"/>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Изменения за период</w:t>
            </w:r>
          </w:p>
        </w:tc>
        <w:tc>
          <w:tcPr>
            <w:tcW w:w="1134" w:type="dxa"/>
            <w:vMerge w:val="restart"/>
            <w:tcBorders>
              <w:top w:val="single" w:color="auto" w:sz="6" w:space="0"/>
              <w:left w:val="single" w:color="auto" w:sz="6" w:space="0"/>
              <w:bottom w:val="nil"/>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 конец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304" w:type="dxa"/>
            <w:vMerge w:val="continue"/>
            <w:tcBorders>
              <w:top w:val="nil"/>
              <w:left w:val="single" w:color="auto" w:sz="6" w:space="0"/>
              <w:bottom w:val="single" w:color="auto" w:sz="6" w:space="0"/>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191"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c>
          <w:tcPr>
            <w:tcW w:w="1191"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получено</w:t>
            </w:r>
          </w:p>
        </w:tc>
        <w:tc>
          <w:tcPr>
            <w:tcW w:w="1363"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возвращено</w:t>
            </w:r>
          </w:p>
        </w:tc>
        <w:tc>
          <w:tcPr>
            <w:tcW w:w="1134" w:type="dxa"/>
            <w:vMerge w:val="continue"/>
            <w:tcBorders>
              <w:top w:val="nil"/>
              <w:left w:val="single" w:color="auto" w:sz="6" w:space="0"/>
              <w:bottom w:val="nil"/>
              <w:right w:val="single" w:color="auto" w:sz="6" w:space="0"/>
            </w:tcBorders>
          </w:tcPr>
          <w:p>
            <w:pPr>
              <w:autoSpaceDE w:val="0"/>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single" w:color="auto" w:sz="6" w:space="0"/>
              <w:left w:val="single" w:color="auto" w:sz="6" w:space="0"/>
              <w:bottom w:val="nil"/>
              <w:right w:val="single" w:color="auto" w:sz="6" w:space="0"/>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Бюджетные кредиты - всего</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6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nil"/>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6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single" w:color="auto" w:sz="6" w:space="0"/>
              <w:left w:val="single" w:color="auto" w:sz="6" w:space="0"/>
              <w:bottom w:val="nil"/>
              <w:right w:val="single" w:color="auto" w:sz="6" w:space="0"/>
            </w:tcBorders>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в том числе: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6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nil"/>
              <w:left w:val="single" w:color="auto" w:sz="6" w:space="0"/>
              <w:bottom w:val="single" w:color="auto" w:sz="6" w:space="0"/>
              <w:right w:val="single" w:color="auto" w:sz="6" w:space="0"/>
            </w:tcBorders>
            <w:vAlign w:val="bottom"/>
          </w:tcPr>
          <w:p>
            <w:pPr>
              <w:autoSpaceDN w:val="0"/>
              <w:adjustRightInd w:val="0"/>
              <w:spacing w:after="0" w:line="240" w:lineRule="auto"/>
              <w:ind w:left="283"/>
              <w:rPr>
                <w:rFonts w:ascii="Times New Roman" w:hAnsi="Times New Roman"/>
                <w:sz w:val="24"/>
                <w:szCs w:val="24"/>
                <w:lang w:eastAsia="ru-RU"/>
              </w:rPr>
            </w:pPr>
            <w:r>
              <w:rPr>
                <w:rFonts w:ascii="Times New Roman" w:hAnsi="Times New Roman"/>
                <w:sz w:val="24"/>
                <w:szCs w:val="24"/>
                <w:lang w:eastAsia="ru-RU"/>
              </w:rPr>
              <w:t>(назначение)</w:t>
            </w:r>
          </w:p>
        </w:tc>
        <w:tc>
          <w:tcPr>
            <w:tcW w:w="1304"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 _____ 20__ г.</w:t>
            </w: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191"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rPr>
                <w:rFonts w:ascii="Times New Roman" w:hAnsi="Times New Roman"/>
                <w:sz w:val="24"/>
                <w:szCs w:val="24"/>
                <w:lang w:eastAsia="ru-RU"/>
              </w:rPr>
            </w:pPr>
          </w:p>
        </w:tc>
        <w:tc>
          <w:tcPr>
            <w:tcW w:w="1363" w:type="dxa"/>
            <w:tcBorders>
              <w:top w:val="single" w:color="auto" w:sz="6" w:space="0"/>
              <w:left w:val="single" w:color="auto" w:sz="6" w:space="0"/>
              <w:bottom w:val="single" w:color="auto" w:sz="6" w:space="0"/>
              <w:right w:val="single" w:color="auto" w:sz="6" w:space="0"/>
            </w:tcBorders>
            <w:vAlign w:val="bottom"/>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4" w:type="dxa"/>
            <w:tcBorders>
              <w:top w:val="single" w:color="auto" w:sz="6" w:space="0"/>
              <w:left w:val="single" w:color="auto" w:sz="6" w:space="0"/>
              <w:bottom w:val="single" w:color="auto" w:sz="6" w:space="0"/>
              <w:right w:val="single" w:color="auto" w:sz="6" w:space="0"/>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340"/>
        <w:gridCol w:w="1531"/>
        <w:gridCol w:w="34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single" w:color="auto" w:sz="6" w:space="0"/>
              <w:right w:val="nil"/>
            </w:tcBorders>
          </w:tcPr>
          <w:p>
            <w:pPr>
              <w:autoSpaceDN w:val="0"/>
              <w:adjustRightInd w:val="0"/>
              <w:spacing w:after="0" w:line="240" w:lineRule="auto"/>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2"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single" w:color="auto" w:sz="6" w:space="0"/>
              <w:left w:val="nil"/>
              <w:bottom w:val="nil"/>
              <w:right w:val="nil"/>
            </w:tcBorders>
          </w:tcPr>
          <w:p>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(расшифровка подписи)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572"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 ___________ 20__ г.</w:t>
            </w: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1531"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40"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c>
          <w:tcPr>
            <w:tcW w:w="3288" w:type="dxa"/>
            <w:tcBorders>
              <w:top w:val="nil"/>
              <w:left w:val="nil"/>
              <w:bottom w:val="nil"/>
              <w:right w:val="nil"/>
            </w:tcBorders>
          </w:tcPr>
          <w:p>
            <w:pPr>
              <w:autoSpaceDN w:val="0"/>
              <w:adjustRightInd w:val="0"/>
              <w:spacing w:after="0" w:line="240" w:lineRule="auto"/>
              <w:rPr>
                <w:rFonts w:ascii="Times New Roman" w:hAnsi="Times New Roman"/>
                <w:sz w:val="24"/>
                <w:szCs w:val="24"/>
                <w:lang w:eastAsia="ru-RU"/>
              </w:rPr>
            </w:pPr>
          </w:p>
        </w:tc>
      </w:tr>
    </w:tbl>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lang w:val="ru-RU"/>
        </w:rPr>
        <w:t>№</w:t>
      </w:r>
      <w:r>
        <w:rPr>
          <w:rFonts w:ascii="Times New Roman" w:hAnsi="Times New Roman" w:cs="Times New Roman"/>
          <w:sz w:val="24"/>
          <w:szCs w:val="24"/>
        </w:rPr>
        <w:t xml:space="preserve"> 2</w:t>
      </w:r>
    </w:p>
    <w:p>
      <w:pPr>
        <w:pStyle w:val="44"/>
        <w:jc w:val="right"/>
        <w:rPr>
          <w:rFonts w:ascii="Times New Roman" w:hAnsi="Times New Roman" w:cs="Times New Roman"/>
          <w:sz w:val="24"/>
          <w:szCs w:val="24"/>
        </w:rPr>
      </w:pPr>
      <w:r>
        <w:rPr>
          <w:rFonts w:ascii="Times New Roman" w:hAnsi="Times New Roman" w:cs="Times New Roman"/>
          <w:sz w:val="24"/>
          <w:szCs w:val="24"/>
        </w:rPr>
        <w:t>к Приказу от 28.12.202</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ru-RU"/>
        </w:rPr>
        <w:t>№</w:t>
      </w:r>
      <w:r>
        <w:rPr>
          <w:rFonts w:ascii="Times New Roman" w:hAnsi="Times New Roman" w:cs="Times New Roman"/>
          <w:sz w:val="24"/>
          <w:szCs w:val="24"/>
        </w:rPr>
        <w:t xml:space="preserve"> 127</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lang w:val="ru-RU"/>
        </w:rPr>
      </w:pPr>
      <w:r>
        <w:rPr>
          <w:rFonts w:ascii="Times New Roman" w:hAnsi="Times New Roman" w:cs="Times New Roman"/>
          <w:b/>
          <w:bCs/>
          <w:sz w:val="24"/>
          <w:szCs w:val="24"/>
        </w:rPr>
        <w:t xml:space="preserve">Учетная политика </w:t>
      </w:r>
      <w:r>
        <w:rPr>
          <w:rFonts w:ascii="Times New Roman" w:hAnsi="Times New Roman" w:cs="Times New Roman"/>
          <w:b/>
          <w:bCs/>
          <w:sz w:val="24"/>
          <w:szCs w:val="24"/>
          <w:lang w:val="ru-RU"/>
        </w:rPr>
        <w:t>ООО "Ppt.ru"</w:t>
      </w:r>
    </w:p>
    <w:p>
      <w:pPr>
        <w:pStyle w:val="44"/>
        <w:jc w:val="center"/>
        <w:rPr>
          <w:rFonts w:ascii="Times New Roman" w:hAnsi="Times New Roman" w:cs="Times New Roman"/>
          <w:sz w:val="24"/>
          <w:szCs w:val="24"/>
        </w:rPr>
      </w:pPr>
      <w:r>
        <w:rPr>
          <w:rFonts w:ascii="Times New Roman" w:hAnsi="Times New Roman" w:cs="Times New Roman"/>
          <w:b/>
          <w:bCs/>
          <w:sz w:val="24"/>
          <w:szCs w:val="24"/>
        </w:rPr>
        <w:t>для целей налогообложения</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 Учетная политика. Организационные положения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ru-RU"/>
        </w:rPr>
        <w:t>ООО "Ppt.ru"</w:t>
      </w:r>
      <w:r>
        <w:rPr>
          <w:rFonts w:ascii="Times New Roman" w:hAnsi="Times New Roman" w:cs="Times New Roman"/>
          <w:sz w:val="24"/>
          <w:szCs w:val="24"/>
        </w:rPr>
        <w:t xml:space="preserve"> (далее - организация) осуществляет следующие виды деятельности:</w:t>
      </w:r>
    </w:p>
    <w:p>
      <w:pPr>
        <w:pStyle w:val="44"/>
        <w:rPr>
          <w:rFonts w:ascii="Times New Roman" w:hAnsi="Times New Roman" w:cs="Times New Roman"/>
          <w:sz w:val="24"/>
          <w:szCs w:val="24"/>
        </w:rPr>
      </w:pPr>
      <w:r>
        <w:rPr>
          <w:rFonts w:ascii="Times New Roman" w:hAnsi="Times New Roman" w:cs="Times New Roman"/>
          <w:sz w:val="24"/>
          <w:szCs w:val="24"/>
        </w:rPr>
        <w:t>- производство и реализацию собственной продукции;</w:t>
      </w:r>
    </w:p>
    <w:p>
      <w:pPr>
        <w:pStyle w:val="44"/>
        <w:rPr>
          <w:rFonts w:ascii="Times New Roman" w:hAnsi="Times New Roman" w:cs="Times New Roman"/>
          <w:sz w:val="24"/>
          <w:szCs w:val="24"/>
        </w:rPr>
      </w:pPr>
      <w:r>
        <w:rPr>
          <w:rFonts w:ascii="Times New Roman" w:hAnsi="Times New Roman" w:cs="Times New Roman"/>
          <w:sz w:val="24"/>
          <w:szCs w:val="24"/>
        </w:rPr>
        <w:t>- оказание услуг;</w:t>
      </w:r>
    </w:p>
    <w:p>
      <w:pPr>
        <w:pStyle w:val="44"/>
        <w:rPr>
          <w:rFonts w:ascii="Times New Roman" w:hAnsi="Times New Roman" w:cs="Times New Roman"/>
          <w:sz w:val="24"/>
          <w:szCs w:val="24"/>
        </w:rPr>
      </w:pPr>
      <w:r>
        <w:rPr>
          <w:rFonts w:ascii="Times New Roman" w:hAnsi="Times New Roman" w:cs="Times New Roman"/>
          <w:sz w:val="24"/>
          <w:szCs w:val="24"/>
        </w:rPr>
        <w:t>- предоставление имущества в аренду.</w:t>
      </w:r>
    </w:p>
    <w:p>
      <w:pPr>
        <w:pStyle w:val="44"/>
        <w:rPr>
          <w:rFonts w:ascii="Times New Roman" w:hAnsi="Times New Roman" w:cs="Times New Roman"/>
          <w:sz w:val="24"/>
          <w:szCs w:val="24"/>
        </w:rPr>
      </w:pPr>
      <w:r>
        <w:rPr>
          <w:rFonts w:ascii="Times New Roman" w:hAnsi="Times New Roman" w:cs="Times New Roman"/>
          <w:sz w:val="24"/>
          <w:szCs w:val="24"/>
        </w:rPr>
        <w:t>1.2. Учет данных для целей налогообложения ведется силами бухгалтерской службы.</w:t>
      </w:r>
    </w:p>
    <w:p>
      <w:pPr>
        <w:pStyle w:val="44"/>
        <w:rPr>
          <w:rFonts w:ascii="Times New Roman" w:hAnsi="Times New Roman" w:cs="Times New Roman"/>
          <w:sz w:val="24"/>
          <w:szCs w:val="24"/>
        </w:rPr>
      </w:pPr>
      <w:r>
        <w:rPr>
          <w:rFonts w:ascii="Times New Roman" w:hAnsi="Times New Roman" w:cs="Times New Roman"/>
          <w:sz w:val="24"/>
          <w:szCs w:val="24"/>
        </w:rPr>
        <w:t>1.3. Учет данных для целей налогообложения ведется автоматизированным способом с применением специализированной бухгалтерской программы X.</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2. Учетная политика. Налог на добавленную стоимость</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2.1. Общие положения.</w:t>
      </w:r>
    </w:p>
    <w:p>
      <w:pPr>
        <w:pStyle w:val="44"/>
        <w:rPr>
          <w:rFonts w:ascii="Times New Roman" w:hAnsi="Times New Roman" w:cs="Times New Roman"/>
          <w:sz w:val="24"/>
          <w:szCs w:val="24"/>
        </w:rPr>
      </w:pPr>
      <w:r>
        <w:rPr>
          <w:rFonts w:ascii="Times New Roman" w:hAnsi="Times New Roman" w:cs="Times New Roman"/>
          <w:sz w:val="24"/>
          <w:szCs w:val="24"/>
        </w:rPr>
        <w:t>2.1.1. Организация производит нумерацию счетов-фактур в хронологическом порядке с начала календарного года.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1 п. 5 ст. 169 НК РФ)</w:t>
      </w:r>
    </w:p>
    <w:p>
      <w:pPr>
        <w:pStyle w:val="44"/>
        <w:rPr>
          <w:rFonts w:ascii="Times New Roman" w:hAnsi="Times New Roman" w:cs="Times New Roman"/>
          <w:sz w:val="24"/>
          <w:szCs w:val="24"/>
        </w:rPr>
      </w:pPr>
      <w:r>
        <w:rPr>
          <w:rFonts w:ascii="Times New Roman" w:hAnsi="Times New Roman" w:cs="Times New Roman"/>
          <w:sz w:val="24"/>
          <w:szCs w:val="24"/>
        </w:rPr>
        <w:t>2.1.2. Если договором предусмотрена непрерывная долгосрочная поставка товаров в адрес покупателя (непрерывное оказание услуг), организация выставляет счета-фактуры такому покупателю не реже одного раза в месяц и не позднее 5-го числа месяца, следующего за истекшим.</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Письмо ФНС России от 16.03.2021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СД-18-3/446)</w:t>
      </w:r>
    </w:p>
    <w:p>
      <w:pPr>
        <w:pStyle w:val="44"/>
        <w:rPr>
          <w:rFonts w:ascii="Times New Roman" w:hAnsi="Times New Roman" w:cs="Times New Roman"/>
          <w:sz w:val="24"/>
          <w:szCs w:val="24"/>
        </w:rPr>
      </w:pPr>
      <w:r>
        <w:rPr>
          <w:rFonts w:ascii="Times New Roman" w:hAnsi="Times New Roman" w:cs="Times New Roman"/>
          <w:sz w:val="24"/>
          <w:szCs w:val="24"/>
        </w:rPr>
        <w:t>2.2. Раздельный учет по НДС.</w:t>
      </w:r>
    </w:p>
    <w:p>
      <w:pPr>
        <w:pStyle w:val="44"/>
        <w:rPr>
          <w:rFonts w:ascii="Times New Roman" w:hAnsi="Times New Roman" w:cs="Times New Roman"/>
          <w:sz w:val="24"/>
          <w:szCs w:val="24"/>
        </w:rPr>
      </w:pPr>
      <w:r>
        <w:rPr>
          <w:rFonts w:ascii="Times New Roman" w:hAnsi="Times New Roman" w:cs="Times New Roman"/>
          <w:sz w:val="24"/>
          <w:szCs w:val="24"/>
        </w:rPr>
        <w:t>2.2.1. Организация осуществляет облагаемые и не облагаемые НДС операции.</w:t>
      </w:r>
    </w:p>
    <w:p>
      <w:pPr>
        <w:pStyle w:val="44"/>
        <w:rPr>
          <w:rFonts w:ascii="Times New Roman" w:hAnsi="Times New Roman" w:cs="Times New Roman"/>
          <w:sz w:val="24"/>
          <w:szCs w:val="24"/>
        </w:rPr>
      </w:pPr>
      <w:r>
        <w:rPr>
          <w:rFonts w:ascii="Times New Roman" w:hAnsi="Times New Roman" w:cs="Times New Roman"/>
          <w:sz w:val="24"/>
          <w:szCs w:val="24"/>
        </w:rPr>
        <w:t>Под не облагаемыми НДС операциями в настоящей Учетной политике понимаются операции, освобожденные от налогообложения на основании ст. 149 НК РФ, а также операции по реализации товаров, местом реализации которых не признается территория РФ.</w:t>
      </w:r>
    </w:p>
    <w:p>
      <w:pPr>
        <w:pStyle w:val="44"/>
        <w:rPr>
          <w:rFonts w:ascii="Times New Roman" w:hAnsi="Times New Roman" w:cs="Times New Roman"/>
          <w:sz w:val="24"/>
          <w:szCs w:val="24"/>
        </w:rPr>
      </w:pPr>
      <w:r>
        <w:rPr>
          <w:rFonts w:ascii="Times New Roman" w:hAnsi="Times New Roman" w:cs="Times New Roman"/>
          <w:sz w:val="24"/>
          <w:szCs w:val="24"/>
        </w:rPr>
        <w:t>При этом пропорция для распределения "входного" НДС, подлежащего разделению, определяется в соответствии с п. 4.1 ст. 170 НК РФ.</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170 НК РФ)</w:t>
      </w:r>
    </w:p>
    <w:p>
      <w:pPr>
        <w:pStyle w:val="44"/>
        <w:rPr>
          <w:rFonts w:ascii="Times New Roman" w:hAnsi="Times New Roman" w:cs="Times New Roman"/>
          <w:sz w:val="24"/>
          <w:szCs w:val="24"/>
        </w:rPr>
      </w:pPr>
      <w:r>
        <w:rPr>
          <w:rFonts w:ascii="Times New Roman" w:hAnsi="Times New Roman" w:cs="Times New Roman"/>
          <w:sz w:val="24"/>
          <w:szCs w:val="24"/>
        </w:rPr>
        <w:t>2.2.2. Организация применяет "правило 5%", предусмотренное в п. 4 ст. 170 НК РФ.</w:t>
      </w:r>
    </w:p>
    <w:p>
      <w:pPr>
        <w:pStyle w:val="44"/>
        <w:rPr>
          <w:rFonts w:ascii="Times New Roman" w:hAnsi="Times New Roman" w:cs="Times New Roman"/>
          <w:sz w:val="24"/>
          <w:szCs w:val="24"/>
        </w:rPr>
      </w:pPr>
      <w:r>
        <w:rPr>
          <w:rFonts w:ascii="Times New Roman" w:hAnsi="Times New Roman" w:cs="Times New Roman"/>
          <w:sz w:val="24"/>
          <w:szCs w:val="24"/>
        </w:rPr>
        <w:t>Так, если в налоговом периоде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меньше или равна 5% от общей величины совокупных расходов на приобретение, производство и (или) реализацию товаров (работ, услуг), имущественных прав, то суммы НДС по товарам (работам, услугам), имущественным правам в указанном налоговом периоде, используемым как в облагаемых, так и в не облагаемых НДС операциях, подлежат вычету в соответствии с порядком, установленным в ст. 172 НК РФ.</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170 НК РФ)</w:t>
      </w:r>
    </w:p>
    <w:p>
      <w:pPr>
        <w:pStyle w:val="44"/>
        <w:rPr>
          <w:rFonts w:ascii="Times New Roman" w:hAnsi="Times New Roman" w:cs="Times New Roman"/>
          <w:sz w:val="24"/>
          <w:szCs w:val="24"/>
        </w:rPr>
      </w:pPr>
      <w:r>
        <w:rPr>
          <w:rFonts w:ascii="Times New Roman" w:hAnsi="Times New Roman" w:cs="Times New Roman"/>
          <w:sz w:val="24"/>
          <w:szCs w:val="24"/>
        </w:rPr>
        <w:t>В целях применения "правила 5%" организация ведет учет данных для определения доли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с использованием специально разработанного регистра учета. Такой регистр учета составляется организацией по форме, приведенной в п. 2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170 НК РФ)</w:t>
      </w:r>
    </w:p>
    <w:p>
      <w:pPr>
        <w:pStyle w:val="44"/>
        <w:rPr>
          <w:rFonts w:ascii="Times New Roman" w:hAnsi="Times New Roman" w:cs="Times New Roman"/>
          <w:sz w:val="24"/>
          <w:szCs w:val="24"/>
        </w:rPr>
      </w:pPr>
      <w:r>
        <w:rPr>
          <w:rFonts w:ascii="Times New Roman" w:hAnsi="Times New Roman" w:cs="Times New Roman"/>
          <w:sz w:val="24"/>
          <w:szCs w:val="24"/>
        </w:rPr>
        <w:t>В целях применения "правила 5%" организация определяет сумму "общехозяйственных расходов", относящихся к расходам на приобретение, производство и (или) реализацию товаров (работ, услуг), имущественных прав, операции по реализации которых не облагаются НДС, пропорционально доле выручки от необлагаемых операций в общей выручке от реализации.</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4 ст. 170 НК РФ, п. 1 Письма ФНС России от 22.03.2011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КЕ-4-3/4475)</w:t>
      </w:r>
    </w:p>
    <w:p>
      <w:pPr>
        <w:pStyle w:val="44"/>
        <w:rPr>
          <w:rFonts w:ascii="Times New Roman" w:hAnsi="Times New Roman" w:cs="Times New Roman"/>
          <w:sz w:val="24"/>
          <w:szCs w:val="24"/>
        </w:rPr>
      </w:pPr>
      <w:r>
        <w:rPr>
          <w:rFonts w:ascii="Times New Roman" w:hAnsi="Times New Roman" w:cs="Times New Roman"/>
          <w:sz w:val="24"/>
          <w:szCs w:val="24"/>
        </w:rPr>
        <w:t>В целях применения "правила 5%" организация определяет долю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в специальной форме. Форма приведена в п. 1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170 НК РФ)</w:t>
      </w:r>
    </w:p>
    <w:p>
      <w:pPr>
        <w:pStyle w:val="44"/>
        <w:rPr>
          <w:rFonts w:ascii="Times New Roman" w:hAnsi="Times New Roman" w:cs="Times New Roman"/>
          <w:sz w:val="24"/>
          <w:szCs w:val="24"/>
        </w:rPr>
      </w:pPr>
      <w:r>
        <w:rPr>
          <w:rFonts w:ascii="Times New Roman" w:hAnsi="Times New Roman" w:cs="Times New Roman"/>
          <w:sz w:val="24"/>
          <w:szCs w:val="24"/>
        </w:rPr>
        <w:t>2.2.3. Организация определяет пропорцию по основным средствам и нематериальным активам, принятым к учету в первом или во втором месяце квартала,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месяц товаров (выполненных работ, оказанных услуг), переданных имущественных прав.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1 п. 4.1 ст. 170 НК РФ)</w:t>
      </w:r>
    </w:p>
    <w:p>
      <w:pPr>
        <w:pStyle w:val="44"/>
        <w:rPr>
          <w:rFonts w:ascii="Times New Roman" w:hAnsi="Times New Roman" w:cs="Times New Roman"/>
          <w:sz w:val="24"/>
          <w:szCs w:val="24"/>
        </w:rPr>
      </w:pPr>
      <w:r>
        <w:rPr>
          <w:rFonts w:ascii="Times New Roman" w:hAnsi="Times New Roman" w:cs="Times New Roman"/>
          <w:sz w:val="24"/>
          <w:szCs w:val="24"/>
        </w:rPr>
        <w:t>2.2.4. Если в течение текущего налогового периода организация не осуществляла отгрузку товаров (выполнение работ, оказание услуг), реализацию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п. 4, 4.1 ст. 170 НК РФ, Письмо Минфина России от 11.03.2015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03-07-08/12672)</w:t>
      </w:r>
    </w:p>
    <w:p>
      <w:pPr>
        <w:pStyle w:val="44"/>
        <w:rPr>
          <w:rFonts w:ascii="Times New Roman" w:hAnsi="Times New Roman" w:cs="Times New Roman"/>
          <w:sz w:val="24"/>
          <w:szCs w:val="24"/>
        </w:rPr>
      </w:pPr>
      <w:r>
        <w:rPr>
          <w:rFonts w:ascii="Times New Roman" w:hAnsi="Times New Roman" w:cs="Times New Roman"/>
          <w:sz w:val="24"/>
          <w:szCs w:val="24"/>
        </w:rPr>
        <w:t>2.2.5. Организация ведет раздельный учет сумм НДС по приобретенным товарам (работам, услугам), в том числе основным средствам и нематериальным активам, имущественным правам, с использованием субсчетов счета 19, утвержденных Рабочим планом счетов организации.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170 НК РФ)</w:t>
      </w:r>
    </w:p>
    <w:p>
      <w:pPr>
        <w:pStyle w:val="44"/>
        <w:rPr>
          <w:rFonts w:ascii="Times New Roman" w:hAnsi="Times New Roman" w:cs="Times New Roman"/>
          <w:sz w:val="24"/>
          <w:szCs w:val="24"/>
        </w:rPr>
      </w:pPr>
      <w:r>
        <w:rPr>
          <w:rFonts w:ascii="Times New Roman" w:hAnsi="Times New Roman" w:cs="Times New Roman"/>
          <w:sz w:val="24"/>
          <w:szCs w:val="24"/>
        </w:rPr>
        <w:t>2.2.6. Организация ведет раздельный учет операций по реализации товаров (работ, услуг), передаче имущественных прав с использованием субсчетов второго порядка к счетам 90 "Продажи" и 91 "Прочие доходы и расходы", утвержденных Рабочим планом счетов организации, открытых в разрезе субсчетов 90-1 "Выручка" и 91-1 "Прочие доходы".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149 НК РФ)</w:t>
      </w:r>
    </w:p>
    <w:p>
      <w:pPr>
        <w:pStyle w:val="44"/>
        <w:rPr>
          <w:rFonts w:ascii="Times New Roman" w:hAnsi="Times New Roman" w:cs="Times New Roman"/>
          <w:sz w:val="24"/>
          <w:szCs w:val="24"/>
        </w:rPr>
      </w:pPr>
      <w:r>
        <w:rPr>
          <w:rFonts w:ascii="Times New Roman" w:hAnsi="Times New Roman" w:cs="Times New Roman"/>
          <w:sz w:val="24"/>
          <w:szCs w:val="24"/>
        </w:rPr>
        <w:t>2.2.7. Организация получает субсидии и (или) бюджетные инвестиции из бюджетов бюджетной системы РФ на приобретение товаров (работ, услуг), в том числе ОС, НМА, имущественных прав, и (или) получает субсидии и (или) бюджетные инвестиции на возмещение ранее понесенных ею затрат на приобретение товаров (работ, услуг), в том числе ОС, НМА, имущественных прав.</w:t>
      </w:r>
    </w:p>
    <w:p>
      <w:pPr>
        <w:pStyle w:val="44"/>
        <w:rPr>
          <w:rFonts w:ascii="Times New Roman" w:hAnsi="Times New Roman" w:cs="Times New Roman"/>
          <w:sz w:val="24"/>
          <w:szCs w:val="24"/>
        </w:rPr>
      </w:pPr>
      <w:r>
        <w:rPr>
          <w:rFonts w:ascii="Times New Roman" w:hAnsi="Times New Roman" w:cs="Times New Roman"/>
          <w:sz w:val="24"/>
          <w:szCs w:val="24"/>
        </w:rPr>
        <w:t>Определение сумм НДС, подлежащих вычету (отнесению на затраты), а также сумм НДС, подлежащих восстановлению, производится в специальном регистре-расчете по форме, приведенной в п. 3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2.1, пп. 6 п. 3 ст. 170 НК РФ)</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3. Учетная политика. Налог на прибыль организаций</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3.1. Общие положения.</w:t>
      </w:r>
    </w:p>
    <w:p>
      <w:pPr>
        <w:pStyle w:val="44"/>
        <w:rPr>
          <w:rFonts w:ascii="Times New Roman" w:hAnsi="Times New Roman" w:cs="Times New Roman"/>
          <w:sz w:val="24"/>
          <w:szCs w:val="24"/>
        </w:rPr>
      </w:pPr>
      <w:r>
        <w:rPr>
          <w:rFonts w:ascii="Times New Roman" w:hAnsi="Times New Roman" w:cs="Times New Roman"/>
          <w:sz w:val="24"/>
          <w:szCs w:val="24"/>
        </w:rPr>
        <w:t>3.1.1. Налоговый учет ведется на основе первичных документов, данные из которых группируются:</w:t>
      </w:r>
    </w:p>
    <w:p>
      <w:pPr>
        <w:pStyle w:val="44"/>
        <w:rPr>
          <w:rFonts w:ascii="Times New Roman" w:hAnsi="Times New Roman" w:cs="Times New Roman"/>
          <w:sz w:val="24"/>
          <w:szCs w:val="24"/>
        </w:rPr>
      </w:pPr>
      <w:r>
        <w:rPr>
          <w:rFonts w:ascii="Times New Roman" w:hAnsi="Times New Roman" w:cs="Times New Roman"/>
          <w:sz w:val="24"/>
          <w:szCs w:val="24"/>
        </w:rPr>
        <w:t>- в регистрах бухгалтерского учета;</w:t>
      </w:r>
    </w:p>
    <w:p>
      <w:pPr>
        <w:pStyle w:val="44"/>
        <w:rPr>
          <w:rFonts w:ascii="Times New Roman" w:hAnsi="Times New Roman" w:cs="Times New Roman"/>
          <w:sz w:val="24"/>
          <w:szCs w:val="24"/>
        </w:rPr>
      </w:pPr>
      <w:r>
        <w:rPr>
          <w:rFonts w:ascii="Times New Roman" w:hAnsi="Times New Roman" w:cs="Times New Roman"/>
          <w:sz w:val="24"/>
          <w:szCs w:val="24"/>
        </w:rPr>
        <w:t>- в специально разработанных регистрах налогового учета.</w:t>
      </w:r>
    </w:p>
    <w:p>
      <w:pPr>
        <w:pStyle w:val="44"/>
        <w:rPr>
          <w:rFonts w:ascii="Times New Roman" w:hAnsi="Times New Roman" w:cs="Times New Roman"/>
          <w:sz w:val="24"/>
          <w:szCs w:val="24"/>
        </w:rPr>
      </w:pPr>
      <w:r>
        <w:rPr>
          <w:rFonts w:ascii="Times New Roman" w:hAnsi="Times New Roman" w:cs="Times New Roman"/>
          <w:sz w:val="24"/>
          <w:szCs w:val="24"/>
        </w:rPr>
        <w:t>Формы регистров, применяемых для ведения налогового учета, формируются программой X и приведены в Приложении к Учетной политике для целей бухгалтерского учета и п. 4 Приложения к Учетной политике для целей налогообложения.</w:t>
      </w:r>
    </w:p>
    <w:p>
      <w:pPr>
        <w:pStyle w:val="44"/>
        <w:rPr>
          <w:rFonts w:ascii="Times New Roman" w:hAnsi="Times New Roman" w:cs="Times New Roman"/>
          <w:sz w:val="24"/>
          <w:szCs w:val="24"/>
        </w:rPr>
      </w:pP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b/>
          <w:i/>
          <w:sz w:val="24"/>
          <w:szCs w:val="24"/>
        </w:rPr>
      </w:pPr>
      <w:r>
        <w:rPr>
          <w:rFonts w:ascii="Times New Roman" w:hAnsi="Times New Roman" w:cs="Times New Roman"/>
          <w:b/>
          <w:i/>
          <w:sz w:val="24"/>
          <w:szCs w:val="24"/>
        </w:rPr>
        <w:t>Примечание:</w:t>
      </w:r>
    </w:p>
    <w:p>
      <w:pPr>
        <w:pStyle w:val="44"/>
        <w:pBdr>
          <w:top w:val="single" w:color="auto" w:sz="4" w:space="1"/>
          <w:left w:val="single" w:color="auto" w:sz="4" w:space="4"/>
          <w:bottom w:val="single" w:color="auto" w:sz="4" w:space="1"/>
          <w:right w:val="single" w:color="auto" w:sz="4" w:space="4"/>
        </w:pBdr>
        <w:rPr>
          <w:rFonts w:ascii="Times New Roman" w:hAnsi="Times New Roman" w:cs="Times New Roman"/>
          <w:i/>
          <w:sz w:val="24"/>
          <w:szCs w:val="24"/>
        </w:rPr>
      </w:pPr>
      <w:r>
        <w:rPr>
          <w:rFonts w:ascii="Times New Roman" w:hAnsi="Times New Roman" w:cs="Times New Roman"/>
          <w:i/>
          <w:sz w:val="24"/>
          <w:szCs w:val="24"/>
        </w:rPr>
        <w:t>В настоящей учетной политике образцы данных регистров отсутствуют. На практике рекомендуем все формы регистров привести в приложениях к учетной политике.</w:t>
      </w:r>
    </w:p>
    <w:p>
      <w:pPr>
        <w:pStyle w:val="44"/>
        <w:rPr>
          <w:rFonts w:ascii="Times New Roman" w:hAnsi="Times New Roman" w:cs="Times New Roman"/>
          <w:i/>
          <w:iCs/>
          <w:sz w:val="24"/>
          <w:szCs w:val="24"/>
        </w:rPr>
      </w:pPr>
    </w:p>
    <w:p>
      <w:pPr>
        <w:pStyle w:val="44"/>
        <w:rPr>
          <w:rFonts w:ascii="Times New Roman" w:hAnsi="Times New Roman" w:cs="Times New Roman"/>
          <w:sz w:val="24"/>
          <w:szCs w:val="24"/>
        </w:rPr>
      </w:pPr>
      <w:r>
        <w:rPr>
          <w:rFonts w:ascii="Times New Roman" w:hAnsi="Times New Roman" w:cs="Times New Roman"/>
          <w:i/>
          <w:iCs/>
          <w:sz w:val="24"/>
          <w:szCs w:val="24"/>
        </w:rPr>
        <w:t>(Основание: ст. 313 НК РФ)</w:t>
      </w:r>
    </w:p>
    <w:p>
      <w:pPr>
        <w:pStyle w:val="44"/>
        <w:rPr>
          <w:rFonts w:ascii="Times New Roman" w:hAnsi="Times New Roman" w:cs="Times New Roman"/>
          <w:sz w:val="24"/>
          <w:szCs w:val="24"/>
        </w:rPr>
      </w:pPr>
      <w:r>
        <w:rPr>
          <w:rFonts w:ascii="Times New Roman" w:hAnsi="Times New Roman" w:cs="Times New Roman"/>
          <w:sz w:val="24"/>
          <w:szCs w:val="24"/>
        </w:rPr>
        <w:t>3.1.2. Отчетными периодами по налогу на прибыль признаются первый квартал, полугодие и девять месяцев календарного года.</w:t>
      </w:r>
    </w:p>
    <w:p>
      <w:pPr>
        <w:pStyle w:val="44"/>
        <w:rPr>
          <w:rFonts w:ascii="Times New Roman" w:hAnsi="Times New Roman" w:cs="Times New Roman"/>
          <w:sz w:val="24"/>
          <w:szCs w:val="24"/>
        </w:rPr>
      </w:pPr>
      <w:r>
        <w:rPr>
          <w:rFonts w:ascii="Times New Roman" w:hAnsi="Times New Roman" w:cs="Times New Roman"/>
          <w:sz w:val="24"/>
          <w:szCs w:val="24"/>
        </w:rPr>
        <w:t>В течение отчетного периода организация исчисляет и уплачивает сумму ежемесячного авансового платежа в порядке, установленном ст. 286 НК РФ.</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 ст. 285, п. 2 ст. 286 НК РФ)</w:t>
      </w:r>
    </w:p>
    <w:p>
      <w:pPr>
        <w:pStyle w:val="44"/>
        <w:rPr>
          <w:rFonts w:ascii="Times New Roman" w:hAnsi="Times New Roman" w:cs="Times New Roman"/>
          <w:sz w:val="24"/>
          <w:szCs w:val="24"/>
        </w:rPr>
      </w:pPr>
      <w:r>
        <w:rPr>
          <w:rFonts w:ascii="Times New Roman" w:hAnsi="Times New Roman" w:cs="Times New Roman"/>
          <w:sz w:val="24"/>
          <w:szCs w:val="24"/>
        </w:rPr>
        <w:t>3.2. Учет доходов и расходов.</w:t>
      </w:r>
    </w:p>
    <w:p>
      <w:pPr>
        <w:pStyle w:val="44"/>
        <w:rPr>
          <w:rFonts w:ascii="Times New Roman" w:hAnsi="Times New Roman" w:cs="Times New Roman"/>
          <w:sz w:val="24"/>
          <w:szCs w:val="24"/>
        </w:rPr>
      </w:pPr>
      <w:r>
        <w:rPr>
          <w:rFonts w:ascii="Times New Roman" w:hAnsi="Times New Roman" w:cs="Times New Roman"/>
          <w:sz w:val="24"/>
          <w:szCs w:val="24"/>
        </w:rPr>
        <w:t>3.2.1. Организация признает доходы и расходы по методу начисления.</w:t>
      </w:r>
    </w:p>
    <w:p>
      <w:pPr>
        <w:pStyle w:val="44"/>
        <w:rPr>
          <w:rFonts w:ascii="Times New Roman" w:hAnsi="Times New Roman" w:cs="Times New Roman"/>
          <w:sz w:val="24"/>
          <w:szCs w:val="24"/>
        </w:rPr>
      </w:pPr>
      <w:r>
        <w:rPr>
          <w:rFonts w:ascii="Times New Roman" w:hAnsi="Times New Roman" w:cs="Times New Roman"/>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pPr>
        <w:pStyle w:val="44"/>
        <w:rPr>
          <w:rFonts w:ascii="Times New Roman" w:hAnsi="Times New Roman" w:cs="Times New Roman"/>
          <w:sz w:val="24"/>
          <w:szCs w:val="24"/>
        </w:rPr>
      </w:pPr>
      <w:r>
        <w:rPr>
          <w:rFonts w:ascii="Times New Roman" w:hAnsi="Times New Roman" w:cs="Times New Roman"/>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ст. ст. 271, 272 НК РФ)</w:t>
      </w:r>
    </w:p>
    <w:p>
      <w:pPr>
        <w:pStyle w:val="44"/>
        <w:rPr>
          <w:rFonts w:ascii="Times New Roman" w:hAnsi="Times New Roman" w:cs="Times New Roman"/>
          <w:sz w:val="24"/>
          <w:szCs w:val="24"/>
        </w:rPr>
      </w:pPr>
      <w:r>
        <w:rPr>
          <w:rFonts w:ascii="Times New Roman" w:hAnsi="Times New Roman" w:cs="Times New Roman"/>
          <w:sz w:val="24"/>
          <w:szCs w:val="24"/>
        </w:rPr>
        <w:t>3.2.2. Если вследствие проведения научных исследований и (или) опытно-конструкторских разработок организация получает исключительные права на результаты интеллектуальной деятельности, указанные в п. 3 ст. 257 НК РФ, расходы на их создание учитываются в составе прочих расходов, связанных с производством и реализацией, в течение двух лет. В случаях, когда в соответствии с ГК РФ результат интеллектуальной деятельности признается и охраняется при условии его государственной регистрации, началом срока включения данных расходов в состав прочих расходов является дата такой государственной регистрации.</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9 ст. 262 НК РФ, Письмо ФНС России от 01.10.2019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СД-4-3/19955)</w:t>
      </w:r>
    </w:p>
    <w:p>
      <w:pPr>
        <w:pStyle w:val="44"/>
        <w:rPr>
          <w:rFonts w:ascii="Times New Roman" w:hAnsi="Times New Roman" w:cs="Times New Roman"/>
          <w:sz w:val="24"/>
          <w:szCs w:val="24"/>
        </w:rPr>
      </w:pPr>
      <w:r>
        <w:rPr>
          <w:rFonts w:ascii="Times New Roman" w:hAnsi="Times New Roman" w:cs="Times New Roman"/>
          <w:sz w:val="24"/>
          <w:szCs w:val="24"/>
        </w:rPr>
        <w:t>3.2.3. Затраты на научные исследования и (или) опытно-конструкторские разработки включаются в состав прочих расходов без применения повышающего коэффициента.</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7 ст. 262 НК РФ)</w:t>
      </w:r>
    </w:p>
    <w:p>
      <w:pPr>
        <w:pStyle w:val="44"/>
        <w:rPr>
          <w:rFonts w:ascii="Times New Roman" w:hAnsi="Times New Roman" w:cs="Times New Roman"/>
          <w:sz w:val="24"/>
          <w:szCs w:val="24"/>
        </w:rPr>
      </w:pPr>
      <w:r>
        <w:rPr>
          <w:rFonts w:ascii="Times New Roman" w:hAnsi="Times New Roman" w:cs="Times New Roman"/>
          <w:sz w:val="24"/>
          <w:szCs w:val="24"/>
        </w:rPr>
        <w:t>3.2.4. Затраты на приобретение по лицензионным и сублицензионным соглашениям права на использование программ для ЭВМ и баз данных, программно-аппаратных комплексов, включенных в единый реестр российских программ для ЭВМ и баз данных (в том числе затраты на приобретение исключительных прав на такие программы для ЭВМ и базы данных стоимостью не более 100 тыс. руб.), учитываются в составе прочих расходов с применением коэффициента 2.</w:t>
      </w:r>
    </w:p>
    <w:p>
      <w:pPr>
        <w:pStyle w:val="44"/>
        <w:rPr>
          <w:rFonts w:ascii="Times New Roman" w:hAnsi="Times New Roman" w:cs="Times New Roman"/>
          <w:i/>
          <w:iCs/>
          <w:sz w:val="24"/>
          <w:szCs w:val="24"/>
        </w:rPr>
      </w:pPr>
      <w:r>
        <w:rPr>
          <w:rFonts w:ascii="Times New Roman" w:hAnsi="Times New Roman" w:cs="Times New Roman"/>
          <w:i/>
          <w:iCs/>
          <w:sz w:val="24"/>
          <w:szCs w:val="24"/>
        </w:rPr>
        <w:t xml:space="preserve">(Основание: пп. 26 п. 1 ст. 264 НК РФ, Письмо ФНС России от 07.03.2023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СД-4-3/2672@)</w:t>
      </w:r>
    </w:p>
    <w:p>
      <w:pPr>
        <w:pStyle w:val="44"/>
        <w:rPr>
          <w:rFonts w:ascii="Times New Roman" w:hAnsi="Times New Roman" w:cs="Times New Roman"/>
          <w:sz w:val="24"/>
          <w:szCs w:val="24"/>
        </w:rPr>
      </w:pPr>
      <w:r>
        <w:rPr>
          <w:rFonts w:ascii="Times New Roman" w:hAnsi="Times New Roman" w:cs="Times New Roman"/>
          <w:sz w:val="24"/>
          <w:szCs w:val="24"/>
        </w:rPr>
        <w:t>3.2.5. Доходы, полученные от сдачи имущества в аренду (субаренду), включаются организацией в состав внереализационных доходов и учитываются в порядке, установленном для признания указанных доходов.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ч. 2 ст. 250 НК РФ)</w:t>
      </w:r>
    </w:p>
    <w:p>
      <w:pPr>
        <w:pStyle w:val="44"/>
        <w:rPr>
          <w:rFonts w:ascii="Times New Roman" w:hAnsi="Times New Roman" w:cs="Times New Roman"/>
          <w:sz w:val="24"/>
          <w:szCs w:val="24"/>
        </w:rPr>
      </w:pPr>
      <w:r>
        <w:rPr>
          <w:rFonts w:ascii="Times New Roman" w:hAnsi="Times New Roman" w:cs="Times New Roman"/>
          <w:sz w:val="24"/>
          <w:szCs w:val="24"/>
        </w:rPr>
        <w:t>3.2.6. Размер убытка от уступки права требования, которая была произведена третьему лицу до наступления указанного в договоре о реализации товаров (работ, услуг) срока платежа, рассчитывается исходя из максимальной ставки процента, установленной для соответствующего вида валюты в п. 1.2 ст. 269 НК РФ по долговому обязательству, равному доходу от уступки права требования, за период от даты уступки до даты платежа, предусмотренного в договоре на реализацию товаров (работ, услуг).</w:t>
      </w:r>
    </w:p>
    <w:p>
      <w:pPr>
        <w:pStyle w:val="44"/>
        <w:rPr>
          <w:rFonts w:ascii="Times New Roman" w:hAnsi="Times New Roman" w:cs="Times New Roman"/>
          <w:sz w:val="24"/>
          <w:szCs w:val="24"/>
        </w:rPr>
      </w:pPr>
      <w:r>
        <w:rPr>
          <w:rFonts w:ascii="Times New Roman" w:hAnsi="Times New Roman" w:cs="Times New Roman"/>
          <w:sz w:val="24"/>
          <w:szCs w:val="24"/>
        </w:rPr>
        <w:t>Положения настоящего пункта также применяются при уступке права требования до наступления срока платежа по долговому обязательству.</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279 НК РФ)</w:t>
      </w:r>
    </w:p>
    <w:p>
      <w:pPr>
        <w:pStyle w:val="44"/>
        <w:rPr>
          <w:rFonts w:ascii="Times New Roman" w:hAnsi="Times New Roman" w:cs="Times New Roman"/>
          <w:sz w:val="24"/>
          <w:szCs w:val="24"/>
        </w:rPr>
      </w:pPr>
      <w:r>
        <w:rPr>
          <w:rFonts w:ascii="Times New Roman" w:hAnsi="Times New Roman" w:cs="Times New Roman"/>
          <w:sz w:val="24"/>
          <w:szCs w:val="24"/>
        </w:rPr>
        <w:t>3.3. Учет прямых и косвенных расходов.</w:t>
      </w:r>
    </w:p>
    <w:p>
      <w:pPr>
        <w:pStyle w:val="44"/>
        <w:rPr>
          <w:rFonts w:ascii="Times New Roman" w:hAnsi="Times New Roman" w:cs="Times New Roman"/>
          <w:sz w:val="24"/>
          <w:szCs w:val="24"/>
        </w:rPr>
      </w:pPr>
      <w:r>
        <w:rPr>
          <w:rFonts w:ascii="Times New Roman" w:hAnsi="Times New Roman" w:cs="Times New Roman"/>
          <w:sz w:val="24"/>
          <w:szCs w:val="24"/>
        </w:rPr>
        <w:t>3.3.1. В перечень прямых расходов организации, связанных с производством товаров (работ, услуг), включаются:</w:t>
      </w:r>
    </w:p>
    <w:p>
      <w:pPr>
        <w:pStyle w:val="44"/>
        <w:rPr>
          <w:rFonts w:ascii="Times New Roman" w:hAnsi="Times New Roman" w:cs="Times New Roman"/>
          <w:sz w:val="24"/>
          <w:szCs w:val="24"/>
        </w:rPr>
      </w:pPr>
      <w:r>
        <w:rPr>
          <w:rFonts w:ascii="Times New Roman" w:hAnsi="Times New Roman" w:cs="Times New Roman"/>
          <w:sz w:val="24"/>
          <w:szCs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pPr>
        <w:pStyle w:val="44"/>
        <w:rPr>
          <w:rFonts w:ascii="Times New Roman" w:hAnsi="Times New Roman" w:cs="Times New Roman"/>
          <w:sz w:val="24"/>
          <w:szCs w:val="24"/>
        </w:rPr>
      </w:pPr>
      <w:r>
        <w:rPr>
          <w:rFonts w:ascii="Times New Roman" w:hAnsi="Times New Roman" w:cs="Times New Roman"/>
          <w:sz w:val="24"/>
          <w:szCs w:val="24"/>
        </w:rPr>
        <w:t>- расходы на оплату труда персонала, участвующего в процессе производства товаров, выполнения работ, оказания услуг;</w:t>
      </w:r>
    </w:p>
    <w:p>
      <w:pPr>
        <w:pStyle w:val="44"/>
        <w:rPr>
          <w:rFonts w:ascii="Times New Roman" w:hAnsi="Times New Roman" w:cs="Times New Roman"/>
          <w:sz w:val="24"/>
          <w:szCs w:val="24"/>
        </w:rPr>
      </w:pPr>
      <w:r>
        <w:rPr>
          <w:rFonts w:ascii="Times New Roman" w:hAnsi="Times New Roman" w:cs="Times New Roman"/>
          <w:sz w:val="24"/>
          <w:szCs w:val="24"/>
        </w:rPr>
        <w:t>-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оплату труда персонала, участвующего в процессе производства товаров, выполнения работ, оказания услуг;</w:t>
      </w:r>
    </w:p>
    <w:p>
      <w:pPr>
        <w:pStyle w:val="44"/>
        <w:rPr>
          <w:rFonts w:ascii="Times New Roman" w:hAnsi="Times New Roman" w:cs="Times New Roman"/>
          <w:sz w:val="24"/>
          <w:szCs w:val="24"/>
        </w:rPr>
      </w:pPr>
      <w:r>
        <w:rPr>
          <w:rFonts w:ascii="Times New Roman" w:hAnsi="Times New Roman" w:cs="Times New Roman"/>
          <w:sz w:val="24"/>
          <w:szCs w:val="24"/>
        </w:rPr>
        <w:t>- суммы начисленной амортизации по основным средствам, используемым при производстве товаров, выполнении работ, оказании услуг.</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пп. 1 п. 1 ст. 254</w:t>
      </w:r>
      <w:r>
        <w:rPr>
          <w:rFonts w:ascii="Times New Roman" w:hAnsi="Times New Roman" w:cs="Times New Roman"/>
          <w:sz w:val="24"/>
          <w:szCs w:val="24"/>
        </w:rPr>
        <w:t xml:space="preserve">, </w:t>
      </w:r>
      <w:r>
        <w:rPr>
          <w:rFonts w:ascii="Times New Roman" w:hAnsi="Times New Roman" w:cs="Times New Roman"/>
          <w:i/>
          <w:iCs/>
          <w:sz w:val="24"/>
          <w:szCs w:val="24"/>
        </w:rPr>
        <w:t>ст. 255</w:t>
      </w:r>
      <w:r>
        <w:rPr>
          <w:rFonts w:ascii="Times New Roman" w:hAnsi="Times New Roman" w:cs="Times New Roman"/>
          <w:sz w:val="24"/>
          <w:szCs w:val="24"/>
        </w:rPr>
        <w:t xml:space="preserve">, </w:t>
      </w:r>
      <w:r>
        <w:rPr>
          <w:rFonts w:ascii="Times New Roman" w:hAnsi="Times New Roman" w:cs="Times New Roman"/>
          <w:i/>
          <w:iCs/>
          <w:sz w:val="24"/>
          <w:szCs w:val="24"/>
        </w:rPr>
        <w:t>пп. 1, 45 п. 1 ст. 264</w:t>
      </w:r>
      <w:r>
        <w:rPr>
          <w:rFonts w:ascii="Times New Roman" w:hAnsi="Times New Roman" w:cs="Times New Roman"/>
          <w:sz w:val="24"/>
          <w:szCs w:val="24"/>
        </w:rPr>
        <w:t xml:space="preserve">, </w:t>
      </w:r>
      <w:r>
        <w:rPr>
          <w:rFonts w:ascii="Times New Roman" w:hAnsi="Times New Roman" w:cs="Times New Roman"/>
          <w:i/>
          <w:iCs/>
          <w:sz w:val="24"/>
          <w:szCs w:val="24"/>
        </w:rPr>
        <w:t>пп. 3 п. 2 ст. 253, ст. 259</w:t>
      </w:r>
      <w:r>
        <w:rPr>
          <w:rFonts w:ascii="Times New Roman" w:hAnsi="Times New Roman" w:cs="Times New Roman"/>
          <w:sz w:val="24"/>
          <w:szCs w:val="24"/>
        </w:rPr>
        <w:t xml:space="preserve">, </w:t>
      </w:r>
      <w:r>
        <w:rPr>
          <w:rFonts w:ascii="Times New Roman" w:hAnsi="Times New Roman" w:cs="Times New Roman"/>
          <w:i/>
          <w:iCs/>
          <w:sz w:val="24"/>
          <w:szCs w:val="24"/>
        </w:rPr>
        <w:t>п. 1 ст. 318 НК РФ)</w:t>
      </w:r>
    </w:p>
    <w:p>
      <w:pPr>
        <w:pStyle w:val="44"/>
        <w:rPr>
          <w:rFonts w:ascii="Times New Roman" w:hAnsi="Times New Roman" w:cs="Times New Roman"/>
          <w:sz w:val="24"/>
          <w:szCs w:val="24"/>
        </w:rPr>
      </w:pPr>
      <w:r>
        <w:rPr>
          <w:rFonts w:ascii="Times New Roman" w:hAnsi="Times New Roman" w:cs="Times New Roman"/>
          <w:sz w:val="24"/>
          <w:szCs w:val="24"/>
        </w:rPr>
        <w:t>3.3.2. Расходы, понесенные при оказании услуг, организация в полном объеме признает в текущем отчетном (налоговом) периоде без распределения прямых расходов на остатки незавершенного производства.</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2 ст. 318 НК РФ)</w:t>
      </w:r>
    </w:p>
    <w:p>
      <w:pPr>
        <w:pStyle w:val="44"/>
        <w:rPr>
          <w:rFonts w:ascii="Times New Roman" w:hAnsi="Times New Roman" w:cs="Times New Roman"/>
          <w:sz w:val="24"/>
          <w:szCs w:val="24"/>
        </w:rPr>
      </w:pPr>
      <w:r>
        <w:rPr>
          <w:rFonts w:ascii="Times New Roman" w:hAnsi="Times New Roman" w:cs="Times New Roman"/>
          <w:sz w:val="24"/>
          <w:szCs w:val="24"/>
        </w:rPr>
        <w:t>3.3.3. Организация осуществляет распределение прямых расходов на незавершенное производство (НЗП) и на изготовленную в текущем месяце продукцию (выполненные работы, оказанные услуги) в доле, соответствующей доле остатков исходного сырья в НЗП (в количественном выражении), за вычетом технологических потерь. При этом под сырьем понимается материал, используемый в производстве в качестве материальной основы, который в результате последовательной технологической обработки (переработки) превращается в готовую продукцию.</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319 НК РФ)</w:t>
      </w:r>
    </w:p>
    <w:p>
      <w:pPr>
        <w:pStyle w:val="44"/>
        <w:rPr>
          <w:rFonts w:ascii="Times New Roman" w:hAnsi="Times New Roman" w:cs="Times New Roman"/>
          <w:sz w:val="24"/>
          <w:szCs w:val="24"/>
        </w:rPr>
      </w:pPr>
      <w:r>
        <w:rPr>
          <w:rFonts w:ascii="Times New Roman" w:hAnsi="Times New Roman" w:cs="Times New Roman"/>
          <w:sz w:val="24"/>
          <w:szCs w:val="24"/>
        </w:rPr>
        <w:t>3.3.4. Прямые расходы, которые невозможно отнести к конкретному производственному процессу по изготовлению продукции (выполнению работ, оказанию услуг), распределяются организацией пропорционально материальным расходам, отнесенным на производство соответствующих видов продукции (выполнение работ, оказание услуг).</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319 НК РФ)</w:t>
      </w:r>
    </w:p>
    <w:p>
      <w:pPr>
        <w:pStyle w:val="44"/>
        <w:rPr>
          <w:rFonts w:ascii="Times New Roman" w:hAnsi="Times New Roman" w:cs="Times New Roman"/>
          <w:sz w:val="24"/>
          <w:szCs w:val="24"/>
        </w:rPr>
      </w:pPr>
      <w:r>
        <w:rPr>
          <w:rFonts w:ascii="Times New Roman" w:hAnsi="Times New Roman" w:cs="Times New Roman"/>
          <w:sz w:val="24"/>
          <w:szCs w:val="24"/>
        </w:rPr>
        <w:t>3.4. Учет товарно-материальных ценностей.</w:t>
      </w:r>
    </w:p>
    <w:p>
      <w:pPr>
        <w:pStyle w:val="44"/>
        <w:rPr>
          <w:rFonts w:ascii="Times New Roman" w:hAnsi="Times New Roman" w:cs="Times New Roman"/>
          <w:sz w:val="24"/>
          <w:szCs w:val="24"/>
        </w:rPr>
      </w:pPr>
      <w:r>
        <w:rPr>
          <w:rFonts w:ascii="Times New Roman" w:hAnsi="Times New Roman" w:cs="Times New Roman"/>
          <w:sz w:val="24"/>
          <w:szCs w:val="24"/>
        </w:rPr>
        <w:t>3.4.1.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организация применяет метод оценки указанного сырья и материалов по средней стоимости.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8 ст. 254 НК РФ)</w:t>
      </w:r>
    </w:p>
    <w:p>
      <w:pPr>
        <w:pStyle w:val="44"/>
        <w:rPr>
          <w:rFonts w:ascii="Times New Roman" w:hAnsi="Times New Roman" w:cs="Times New Roman"/>
          <w:sz w:val="24"/>
          <w:szCs w:val="24"/>
        </w:rPr>
      </w:pPr>
      <w:r>
        <w:rPr>
          <w:rFonts w:ascii="Times New Roman" w:hAnsi="Times New Roman" w:cs="Times New Roman"/>
          <w:sz w:val="24"/>
          <w:szCs w:val="24"/>
        </w:rPr>
        <w:t>3.4.2. Стоимость имущества, перечисленного в пп.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3 п. 1 ст. 254 НК РФ)</w:t>
      </w:r>
    </w:p>
    <w:p>
      <w:pPr>
        <w:pStyle w:val="44"/>
        <w:rPr>
          <w:rFonts w:ascii="Times New Roman" w:hAnsi="Times New Roman" w:cs="Times New Roman"/>
          <w:sz w:val="24"/>
          <w:szCs w:val="24"/>
        </w:rPr>
      </w:pPr>
      <w:r>
        <w:rPr>
          <w:rFonts w:ascii="Times New Roman" w:hAnsi="Times New Roman" w:cs="Times New Roman"/>
          <w:sz w:val="24"/>
          <w:szCs w:val="24"/>
        </w:rPr>
        <w:t>3.5. Учет амортизируемого имущества.</w:t>
      </w:r>
    </w:p>
    <w:p>
      <w:pPr>
        <w:pStyle w:val="44"/>
        <w:rPr>
          <w:rFonts w:ascii="Times New Roman" w:hAnsi="Times New Roman" w:cs="Times New Roman"/>
          <w:sz w:val="24"/>
          <w:szCs w:val="24"/>
        </w:rPr>
      </w:pPr>
      <w:r>
        <w:rPr>
          <w:rFonts w:ascii="Times New Roman" w:hAnsi="Times New Roman" w:cs="Times New Roman"/>
          <w:sz w:val="24"/>
          <w:szCs w:val="24"/>
        </w:rPr>
        <w:t>3.5.1. Амортизируемым имуществом в целях налогообложения признаются имущество, результаты интеллектуальной деятельности и иные объекты интеллектуальной собственности, которые находятся у организации на праве собственности (если иное не предусмотрено гл. 25 НК РФ) и используются для извлечения дохода.</w:t>
      </w:r>
    </w:p>
    <w:p>
      <w:pPr>
        <w:pStyle w:val="44"/>
        <w:rPr>
          <w:rFonts w:ascii="Times New Roman" w:hAnsi="Times New Roman" w:cs="Times New Roman"/>
          <w:sz w:val="24"/>
          <w:szCs w:val="24"/>
        </w:rPr>
      </w:pPr>
      <w:r>
        <w:rPr>
          <w:rFonts w:ascii="Times New Roman" w:hAnsi="Times New Roman" w:cs="Times New Roman"/>
          <w:sz w:val="24"/>
          <w:szCs w:val="24"/>
        </w:rPr>
        <w:t>Амортизируемым имуществом признается имущество, объекты интеллектуальной собственности со сроком полезного использования более 12 месяцев и первоначальной стоимостью более 100 000 руб.</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256 НК РФ)</w:t>
      </w:r>
    </w:p>
    <w:p>
      <w:pPr>
        <w:pStyle w:val="44"/>
        <w:rPr>
          <w:rFonts w:ascii="Times New Roman" w:hAnsi="Times New Roman" w:cs="Times New Roman"/>
          <w:sz w:val="24"/>
          <w:szCs w:val="24"/>
        </w:rPr>
      </w:pPr>
      <w:r>
        <w:rPr>
          <w:rFonts w:ascii="Times New Roman" w:hAnsi="Times New Roman" w:cs="Times New Roman"/>
          <w:sz w:val="24"/>
          <w:szCs w:val="24"/>
        </w:rPr>
        <w:t>3.5.2. Затраты на формирование первоначальной стоимости основного средства, включенного в единый реестр российской радиоэлектронной продукции, относящегося к сфере искусственного интеллекта, учитываются с применением коэффициента 2.</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 ст. 257 НК РФ)</w:t>
      </w:r>
    </w:p>
    <w:p>
      <w:pPr>
        <w:pStyle w:val="44"/>
        <w:rPr>
          <w:rFonts w:ascii="Times New Roman" w:hAnsi="Times New Roman" w:cs="Times New Roman"/>
          <w:sz w:val="24"/>
          <w:szCs w:val="24"/>
        </w:rPr>
      </w:pPr>
      <w:r>
        <w:rPr>
          <w:rFonts w:ascii="Times New Roman" w:hAnsi="Times New Roman" w:cs="Times New Roman"/>
          <w:sz w:val="24"/>
          <w:szCs w:val="24"/>
        </w:rPr>
        <w:t xml:space="preserve">3.5.3. Затраты на формирование первоначальной стоимости основного средства, включенного в перечень российского высокотехнологичного оборудования, утвержденный Распоряжением Правительства РФ от 20.07.2023 </w:t>
      </w:r>
      <w:r>
        <w:rPr>
          <w:rFonts w:ascii="Times New Roman" w:hAnsi="Times New Roman" w:cs="Times New Roman"/>
          <w:sz w:val="24"/>
          <w:szCs w:val="24"/>
          <w:lang w:val="ru-RU"/>
        </w:rPr>
        <w:t>№</w:t>
      </w:r>
      <w:r>
        <w:rPr>
          <w:rFonts w:ascii="Times New Roman" w:hAnsi="Times New Roman" w:cs="Times New Roman"/>
          <w:sz w:val="24"/>
          <w:szCs w:val="24"/>
        </w:rPr>
        <w:t xml:space="preserve"> 1937-р, учитываются с применением коэффициента 2.</w:t>
      </w:r>
    </w:p>
    <w:p>
      <w:pPr>
        <w:pStyle w:val="44"/>
        <w:rPr>
          <w:rFonts w:ascii="Times New Roman" w:hAnsi="Times New Roman" w:cs="Times New Roman"/>
          <w:i/>
          <w:sz w:val="24"/>
          <w:szCs w:val="24"/>
        </w:rPr>
      </w:pPr>
      <w:r>
        <w:rPr>
          <w:rFonts w:ascii="Times New Roman" w:hAnsi="Times New Roman" w:cs="Times New Roman"/>
          <w:i/>
          <w:sz w:val="24"/>
          <w:szCs w:val="24"/>
        </w:rPr>
        <w:t>(Основание: п. 1 ст. 257 НК РФ)</w:t>
      </w:r>
    </w:p>
    <w:p>
      <w:pPr>
        <w:pStyle w:val="44"/>
        <w:rPr>
          <w:rFonts w:ascii="Times New Roman" w:hAnsi="Times New Roman" w:cs="Times New Roman"/>
          <w:sz w:val="24"/>
          <w:szCs w:val="24"/>
        </w:rPr>
      </w:pPr>
      <w:r>
        <w:rPr>
          <w:rFonts w:ascii="Times New Roman" w:hAnsi="Times New Roman" w:cs="Times New Roman"/>
          <w:sz w:val="24"/>
          <w:szCs w:val="24"/>
        </w:rPr>
        <w:t>3.5.4. Затраты на формирование первоначальной стоимости основного средства, включенного в единый реестр российских программ для ЭВМ и баз данных, учитываются с применением коэффициента 2.</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 ст. 257 НК РФ)</w:t>
      </w:r>
    </w:p>
    <w:p>
      <w:pPr>
        <w:pStyle w:val="44"/>
        <w:rPr>
          <w:rFonts w:ascii="Times New Roman" w:hAnsi="Times New Roman" w:cs="Times New Roman"/>
          <w:sz w:val="24"/>
          <w:szCs w:val="24"/>
        </w:rPr>
      </w:pPr>
      <w:r>
        <w:rPr>
          <w:rFonts w:ascii="Times New Roman" w:hAnsi="Times New Roman" w:cs="Times New Roman"/>
          <w:sz w:val="24"/>
          <w:szCs w:val="24"/>
        </w:rPr>
        <w:t>3.5.5. Амортизация по капитальным вложениям в арендованные объекты основных средств в форме неотделимых улучшений, произведенных с согласия арендодателя, стоимость которых им не возмещается, рассчитывается с учетом срока полезного использования, установленного для арендованного объекта основных средств.</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 ст. 258 НК РФ)</w:t>
      </w:r>
    </w:p>
    <w:p>
      <w:pPr>
        <w:pStyle w:val="44"/>
        <w:rPr>
          <w:rFonts w:ascii="Times New Roman" w:hAnsi="Times New Roman" w:cs="Times New Roman"/>
          <w:sz w:val="24"/>
          <w:szCs w:val="24"/>
        </w:rPr>
      </w:pPr>
      <w:r>
        <w:rPr>
          <w:rFonts w:ascii="Times New Roman" w:hAnsi="Times New Roman" w:cs="Times New Roman"/>
          <w:sz w:val="24"/>
          <w:szCs w:val="24"/>
        </w:rPr>
        <w:t>3.5.6.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pPr>
        <w:pStyle w:val="44"/>
        <w:rPr>
          <w:rFonts w:ascii="Times New Roman" w:hAnsi="Times New Roman" w:cs="Times New Roman"/>
          <w:i/>
          <w:iCs/>
          <w:sz w:val="24"/>
          <w:szCs w:val="24"/>
        </w:rPr>
      </w:pPr>
      <w:r>
        <w:rPr>
          <w:rFonts w:ascii="Times New Roman" w:hAnsi="Times New Roman" w:cs="Times New Roman"/>
          <w:i/>
          <w:iCs/>
          <w:sz w:val="24"/>
          <w:szCs w:val="24"/>
        </w:rPr>
        <w:t>(Основание: п. 1 ст. 258 НК РФ)</w:t>
      </w:r>
    </w:p>
    <w:p>
      <w:pPr>
        <w:pStyle w:val="44"/>
        <w:rPr>
          <w:rFonts w:ascii="Times New Roman" w:hAnsi="Times New Roman" w:cs="Times New Roman"/>
          <w:sz w:val="24"/>
          <w:szCs w:val="24"/>
        </w:rPr>
      </w:pPr>
      <w:r>
        <w:rPr>
          <w:rFonts w:ascii="Times New Roman" w:hAnsi="Times New Roman" w:cs="Times New Roman"/>
          <w:sz w:val="24"/>
          <w:szCs w:val="24"/>
        </w:rPr>
        <w:t>3.5.7.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pPr>
        <w:pStyle w:val="44"/>
        <w:rPr>
          <w:rFonts w:ascii="Times New Roman" w:hAnsi="Times New Roman" w:cs="Times New Roman"/>
          <w:sz w:val="24"/>
          <w:szCs w:val="24"/>
        </w:rPr>
      </w:pPr>
      <w:r>
        <w:rPr>
          <w:rFonts w:ascii="Times New Roman" w:hAnsi="Times New Roman" w:cs="Times New Roman"/>
          <w:sz w:val="24"/>
          <w:szCs w:val="24"/>
        </w:rPr>
        <w:t>3.6. Начисление амортизации.</w:t>
      </w:r>
    </w:p>
    <w:p>
      <w:pPr>
        <w:pStyle w:val="44"/>
        <w:rPr>
          <w:rFonts w:ascii="Times New Roman" w:hAnsi="Times New Roman" w:cs="Times New Roman"/>
          <w:sz w:val="24"/>
          <w:szCs w:val="24"/>
        </w:rPr>
      </w:pPr>
      <w:r>
        <w:rPr>
          <w:rFonts w:ascii="Times New Roman" w:hAnsi="Times New Roman" w:cs="Times New Roman"/>
          <w:sz w:val="24"/>
          <w:szCs w:val="24"/>
        </w:rPr>
        <w:t>3.6.1. По всем объектам амортизируемого имущества организация применяет линейный метод начисления амортизации.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259 НК РФ)</w:t>
      </w:r>
    </w:p>
    <w:p>
      <w:pPr>
        <w:pStyle w:val="44"/>
        <w:rPr>
          <w:rFonts w:ascii="Times New Roman" w:hAnsi="Times New Roman" w:cs="Times New Roman"/>
          <w:sz w:val="24"/>
          <w:szCs w:val="24"/>
        </w:rPr>
      </w:pPr>
      <w:r>
        <w:rPr>
          <w:rFonts w:ascii="Times New Roman" w:hAnsi="Times New Roman" w:cs="Times New Roman"/>
          <w:sz w:val="24"/>
          <w:szCs w:val="24"/>
        </w:rPr>
        <w:t>3.6.2. Амортизационная премия не применяется.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9 ст. 258 НК РФ)</w:t>
      </w:r>
    </w:p>
    <w:p>
      <w:pPr>
        <w:pStyle w:val="44"/>
        <w:rPr>
          <w:rFonts w:ascii="Times New Roman" w:hAnsi="Times New Roman" w:cs="Times New Roman"/>
          <w:sz w:val="24"/>
          <w:szCs w:val="24"/>
        </w:rPr>
      </w:pPr>
      <w:r>
        <w:rPr>
          <w:rFonts w:ascii="Times New Roman" w:hAnsi="Times New Roman" w:cs="Times New Roman"/>
          <w:sz w:val="24"/>
          <w:szCs w:val="24"/>
        </w:rPr>
        <w:t>3.6.3. Амортизация по объектам основных средств начисляется без применения специальных повышающих коэффициентов.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1 - 3 ст. 259.3 НК РФ)</w:t>
      </w:r>
    </w:p>
    <w:p>
      <w:pPr>
        <w:pStyle w:val="44"/>
        <w:rPr>
          <w:rFonts w:ascii="Times New Roman" w:hAnsi="Times New Roman" w:cs="Times New Roman"/>
          <w:sz w:val="24"/>
          <w:szCs w:val="24"/>
        </w:rPr>
      </w:pPr>
      <w:r>
        <w:rPr>
          <w:rFonts w:ascii="Times New Roman" w:hAnsi="Times New Roman" w:cs="Times New Roman"/>
          <w:sz w:val="24"/>
          <w:szCs w:val="24"/>
        </w:rPr>
        <w:t>3.6.4. Амортизация по всем объектам амортизируемого имущества начисляется без применения понижающих коэффициентов.</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4 ст. 259.3 НК РФ)</w:t>
      </w:r>
    </w:p>
    <w:p>
      <w:pPr>
        <w:pStyle w:val="44"/>
        <w:rPr>
          <w:rFonts w:ascii="Times New Roman" w:hAnsi="Times New Roman" w:cs="Times New Roman"/>
          <w:sz w:val="24"/>
          <w:szCs w:val="24"/>
        </w:rPr>
      </w:pPr>
      <w:r>
        <w:rPr>
          <w:rFonts w:ascii="Times New Roman" w:hAnsi="Times New Roman" w:cs="Times New Roman"/>
          <w:sz w:val="24"/>
          <w:szCs w:val="24"/>
        </w:rPr>
        <w:t>3.7. Формирование резервов.</w:t>
      </w:r>
    </w:p>
    <w:p>
      <w:pPr>
        <w:pStyle w:val="44"/>
        <w:rPr>
          <w:rFonts w:ascii="Times New Roman" w:hAnsi="Times New Roman" w:cs="Times New Roman"/>
          <w:sz w:val="24"/>
          <w:szCs w:val="24"/>
        </w:rPr>
      </w:pPr>
      <w:r>
        <w:rPr>
          <w:rFonts w:ascii="Times New Roman" w:hAnsi="Times New Roman" w:cs="Times New Roman"/>
          <w:sz w:val="24"/>
          <w:szCs w:val="24"/>
        </w:rPr>
        <w:t>3.7.1.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 3 ст. 260 НК РФ)</w:t>
      </w:r>
    </w:p>
    <w:p>
      <w:pPr>
        <w:pStyle w:val="44"/>
        <w:rPr>
          <w:rFonts w:ascii="Times New Roman" w:hAnsi="Times New Roman" w:cs="Times New Roman"/>
          <w:sz w:val="24"/>
          <w:szCs w:val="24"/>
        </w:rPr>
      </w:pPr>
      <w:r>
        <w:rPr>
          <w:rFonts w:ascii="Times New Roman" w:hAnsi="Times New Roman" w:cs="Times New Roman"/>
          <w:sz w:val="24"/>
          <w:szCs w:val="24"/>
        </w:rPr>
        <w:t>3.7.2. Организация формирует резерв по сомнительным долгам. С этой целью на последнее число каждого отчетного (налогового) периода в организации проводится инвентаризация дебиторской задолженности, возникшей в связи с реализацией товаров, выполнением работ, оказанием услуг.</w:t>
      </w:r>
    </w:p>
    <w:p>
      <w:pPr>
        <w:pStyle w:val="44"/>
        <w:rPr>
          <w:rFonts w:ascii="Times New Roman" w:hAnsi="Times New Roman" w:cs="Times New Roman"/>
          <w:sz w:val="24"/>
          <w:szCs w:val="24"/>
        </w:rPr>
      </w:pPr>
      <w:r>
        <w:rPr>
          <w:rFonts w:ascii="Times New Roman" w:hAnsi="Times New Roman" w:cs="Times New Roman"/>
          <w:sz w:val="24"/>
          <w:szCs w:val="24"/>
        </w:rPr>
        <w:t>Сумма такого резерва, исчисленного по итогам налогового периода, не может превышать 10% от выручки за указанный налоговый период, определяемой в соответствии со ст. 249 НК РФ. Если резерв исчисляется в течение налогового периода по итогам отчетных периодов, его сумма не должна превышать большую из величин: 10% от выручки за предыдущий налоговый период или 10% от выручки за текущий отчетный период.</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3, 4 ст. 266 НК РФ)</w:t>
      </w:r>
    </w:p>
    <w:p>
      <w:pPr>
        <w:pStyle w:val="44"/>
        <w:rPr>
          <w:rFonts w:ascii="Times New Roman" w:hAnsi="Times New Roman" w:cs="Times New Roman"/>
          <w:sz w:val="24"/>
          <w:szCs w:val="24"/>
        </w:rPr>
      </w:pPr>
      <w:r>
        <w:rPr>
          <w:rFonts w:ascii="Times New Roman" w:hAnsi="Times New Roman" w:cs="Times New Roman"/>
          <w:sz w:val="24"/>
          <w:szCs w:val="24"/>
        </w:rPr>
        <w:t>3.7.3. Резерв на гарантийный ремонт и гарантийное обслуживание организация не формирует.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ст. 267 НК РФ)</w:t>
      </w:r>
    </w:p>
    <w:p>
      <w:pPr>
        <w:pStyle w:val="44"/>
        <w:rPr>
          <w:rFonts w:ascii="Times New Roman" w:hAnsi="Times New Roman" w:cs="Times New Roman"/>
          <w:sz w:val="24"/>
          <w:szCs w:val="24"/>
        </w:rPr>
      </w:pPr>
      <w:r>
        <w:rPr>
          <w:rFonts w:ascii="Times New Roman" w:hAnsi="Times New Roman" w:cs="Times New Roman"/>
          <w:sz w:val="24"/>
          <w:szCs w:val="24"/>
        </w:rPr>
        <w:t>3.7.4. Организация формирует резерв на оплату предстоящих отпусков сотрудников в целях равномерного учета предстоящих расходов для целей налогообложения. Резерв на предстоящие отпуска создается в целом по организации.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324.1 НК РФ)</w:t>
      </w:r>
    </w:p>
    <w:p>
      <w:pPr>
        <w:pStyle w:val="44"/>
        <w:rPr>
          <w:rFonts w:ascii="Times New Roman" w:hAnsi="Times New Roman" w:cs="Times New Roman"/>
          <w:sz w:val="24"/>
          <w:szCs w:val="24"/>
        </w:rPr>
      </w:pPr>
      <w:r>
        <w:rPr>
          <w:rFonts w:ascii="Times New Roman" w:hAnsi="Times New Roman" w:cs="Times New Roman"/>
          <w:sz w:val="24"/>
          <w:szCs w:val="24"/>
        </w:rPr>
        <w:t>Отчисления в резерв производятся на последнее число каждого месяца в сумме, равной фактическим расходам на оплату труда за соответствующий месяц, умноженным на 8,47%. Предельная сумма отчислений в резерв соответствует сумме отпускных с учетом страховых взносов, которую предполагается выплатить в течение года, и составляет 7 401 082 руб. Расчет указанных показателей отражен в специальной смете, приведенной в п. 5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324.1 НК РФ)</w:t>
      </w:r>
    </w:p>
    <w:p>
      <w:pPr>
        <w:pStyle w:val="44"/>
        <w:rPr>
          <w:rFonts w:ascii="Times New Roman" w:hAnsi="Times New Roman" w:cs="Times New Roman"/>
          <w:sz w:val="24"/>
          <w:szCs w:val="24"/>
        </w:rPr>
      </w:pPr>
      <w:r>
        <w:rPr>
          <w:rFonts w:ascii="Times New Roman" w:hAnsi="Times New Roman" w:cs="Times New Roman"/>
          <w:sz w:val="24"/>
          <w:szCs w:val="24"/>
        </w:rPr>
        <w:t>3.7.5. Резерв на выплату вознаграждений за выслугу лет организация не формирует.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 6 ст. 324.1 НК РФ)</w:t>
      </w:r>
    </w:p>
    <w:p>
      <w:pPr>
        <w:pStyle w:val="44"/>
        <w:rPr>
          <w:rFonts w:ascii="Times New Roman" w:hAnsi="Times New Roman" w:cs="Times New Roman"/>
          <w:sz w:val="24"/>
          <w:szCs w:val="24"/>
        </w:rPr>
      </w:pPr>
      <w:r>
        <w:rPr>
          <w:rFonts w:ascii="Times New Roman" w:hAnsi="Times New Roman" w:cs="Times New Roman"/>
          <w:sz w:val="24"/>
          <w:szCs w:val="24"/>
        </w:rPr>
        <w:t>3.7.6. Резерв на выплату вознаграждений по итогам работы за год организация не формирует.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п. 1, 6 ст. 324.1 НК РФ)</w:t>
      </w:r>
    </w:p>
    <w:p>
      <w:pPr>
        <w:pStyle w:val="44"/>
        <w:rPr>
          <w:rFonts w:ascii="Times New Roman" w:hAnsi="Times New Roman" w:cs="Times New Roman"/>
          <w:sz w:val="24"/>
          <w:szCs w:val="24"/>
        </w:rPr>
      </w:pPr>
      <w:r>
        <w:rPr>
          <w:rFonts w:ascii="Times New Roman" w:hAnsi="Times New Roman" w:cs="Times New Roman"/>
          <w:sz w:val="24"/>
          <w:szCs w:val="24"/>
        </w:rPr>
        <w:t>3.7.7. Резерв на предстоящие расходы на научные исследования и (или) опытно-конструкторские разработки организация не формирует.</w:t>
      </w:r>
    </w:p>
    <w:p>
      <w:pPr>
        <w:pStyle w:val="44"/>
        <w:rPr>
          <w:rFonts w:ascii="Times New Roman" w:hAnsi="Times New Roman" w:cs="Times New Roman"/>
          <w:sz w:val="24"/>
          <w:szCs w:val="24"/>
        </w:rPr>
      </w:pPr>
      <w:r>
        <w:rPr>
          <w:rFonts w:ascii="Times New Roman" w:hAnsi="Times New Roman" w:cs="Times New Roman"/>
          <w:i/>
          <w:iCs/>
          <w:sz w:val="24"/>
          <w:szCs w:val="24"/>
        </w:rPr>
        <w:t>(Основание: ст. 267.2 НК РФ)</w:t>
      </w:r>
    </w:p>
    <w:p>
      <w:pPr>
        <w:pStyle w:val="44"/>
        <w:rPr>
          <w:rFonts w:ascii="Times New Roman" w:hAnsi="Times New Roman" w:cs="Times New Roman"/>
          <w:sz w:val="24"/>
          <w:szCs w:val="24"/>
        </w:rPr>
      </w:pPr>
      <w:r>
        <w:rPr>
          <w:rFonts w:ascii="Times New Roman" w:hAnsi="Times New Roman" w:cs="Times New Roman"/>
          <w:sz w:val="24"/>
          <w:szCs w:val="24"/>
        </w:rPr>
        <w:t>3.8. Учет операций с ценными бумагами.</w:t>
      </w:r>
    </w:p>
    <w:p>
      <w:pPr>
        <w:pStyle w:val="44"/>
        <w:rPr>
          <w:rFonts w:ascii="Times New Roman" w:hAnsi="Times New Roman" w:cs="Times New Roman"/>
          <w:sz w:val="24"/>
          <w:szCs w:val="24"/>
        </w:rPr>
      </w:pPr>
      <w:r>
        <w:rPr>
          <w:rFonts w:ascii="Times New Roman" w:hAnsi="Times New Roman" w:cs="Times New Roman"/>
          <w:sz w:val="24"/>
          <w:szCs w:val="24"/>
        </w:rPr>
        <w:t>3.8.1. Если сделка с ценными бумагами соответствует критериям операции с производными финансовыми инструментами, то ее налогообложение осуществляется в порядке, предусмотренном для операций с ценными бумагами.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280 НК РФ)</w:t>
      </w:r>
    </w:p>
    <w:p>
      <w:pPr>
        <w:pStyle w:val="44"/>
        <w:rPr>
          <w:rFonts w:ascii="Times New Roman" w:hAnsi="Times New Roman" w:cs="Times New Roman"/>
          <w:sz w:val="24"/>
          <w:szCs w:val="24"/>
        </w:rPr>
      </w:pPr>
      <w:r>
        <w:rPr>
          <w:rFonts w:ascii="Times New Roman" w:hAnsi="Times New Roman" w:cs="Times New Roman"/>
          <w:sz w:val="24"/>
          <w:szCs w:val="24"/>
        </w:rPr>
        <w:t>3.8.2. Расчетная цена ценной бумаги, не обращающейся на организованном рынке ценных бумаг, по сделкам, признаваемым контролируемыми, определяется как оценочная стоимость ценной бумаги, определенная оценщиком.</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 п. 16, 29 ст. 280 НК РФ, п. п. 2, 19 Порядка, утвержденного Приказом ФСФР России от 09.11.2010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10-66/пз-н)</w:t>
      </w:r>
    </w:p>
    <w:p>
      <w:pPr>
        <w:pStyle w:val="44"/>
        <w:rPr>
          <w:rFonts w:ascii="Times New Roman" w:hAnsi="Times New Roman" w:cs="Times New Roman"/>
          <w:sz w:val="24"/>
          <w:szCs w:val="24"/>
        </w:rPr>
      </w:pPr>
      <w:r>
        <w:rPr>
          <w:rFonts w:ascii="Times New Roman" w:hAnsi="Times New Roman" w:cs="Times New Roman"/>
          <w:sz w:val="24"/>
          <w:szCs w:val="24"/>
        </w:rPr>
        <w:t>3.8.3. При реализации или ином выбытии ценных бумаг они списываются на расходы по стоимости единицы такой ценной бумаги.</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23 ст. 280 НК РФ)</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4. Учетная политика. Налог на доходы физических лиц</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4.1. Учет доходов, выплаченных физическим лицам, в отношении которых организация выступает налоговым агентом, предоставленных налоговых вычетов, а также сумм исчисленного и удержанного с них НДФЛ ведется в налоговом регистре, форма которого приведена в п. 6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 1 ст. 230 НК РФ)</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5. Учетная политика. Страховые взносы</w:t>
      </w:r>
    </w:p>
    <w:p>
      <w:pPr>
        <w:pStyle w:val="44"/>
        <w:rPr>
          <w:rFonts w:ascii="Times New Roman" w:hAnsi="Times New Roman" w:cs="Times New Roman"/>
          <w:sz w:val="24"/>
          <w:szCs w:val="24"/>
        </w:rPr>
      </w:pPr>
    </w:p>
    <w:p>
      <w:pPr>
        <w:pStyle w:val="44"/>
        <w:rPr>
          <w:rFonts w:ascii="Times New Roman" w:hAnsi="Times New Roman" w:cs="Times New Roman"/>
          <w:sz w:val="24"/>
          <w:szCs w:val="24"/>
        </w:rPr>
      </w:pPr>
      <w:bookmarkStart w:id="1" w:name="ConTEXT_0"/>
      <w:bookmarkEnd w:id="1"/>
      <w:r>
        <w:rPr>
          <w:rFonts w:ascii="Times New Roman" w:hAnsi="Times New Roman" w:cs="Times New Roman"/>
          <w:sz w:val="24"/>
          <w:szCs w:val="24"/>
        </w:rPr>
        <w:t>5.1. 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 п. 7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(Основание: пп. 2 п. 3.4 ст. 23, п. 4 ст. 431 НК РФ)</w:t>
      </w:r>
    </w:p>
    <w:p>
      <w:pPr>
        <w:pStyle w:val="44"/>
        <w:rPr>
          <w:rFonts w:ascii="Times New Roman" w:hAnsi="Times New Roman" w:cs="Times New Roman"/>
          <w:sz w:val="24"/>
          <w:szCs w:val="24"/>
        </w:rPr>
      </w:pPr>
      <w:r>
        <w:rPr>
          <w:rFonts w:ascii="Times New Roman" w:hAnsi="Times New Roman" w:cs="Times New Roman"/>
          <w:sz w:val="24"/>
          <w:szCs w:val="24"/>
        </w:rPr>
        <w:t>5.2. 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 8 Приложения к Учетной политике для целей налогообложения.</w:t>
      </w:r>
    </w:p>
    <w:p>
      <w:pPr>
        <w:pStyle w:val="44"/>
        <w:rPr>
          <w:rFonts w:ascii="Times New Roman" w:hAnsi="Times New Roman" w:cs="Times New Roman"/>
          <w:sz w:val="24"/>
          <w:szCs w:val="24"/>
        </w:rPr>
      </w:pPr>
      <w:r>
        <w:rPr>
          <w:rFonts w:ascii="Times New Roman" w:hAnsi="Times New Roman" w:cs="Times New Roman"/>
          <w:i/>
          <w:iCs/>
          <w:sz w:val="24"/>
          <w:szCs w:val="24"/>
        </w:rPr>
        <w:t xml:space="preserve">(Основание: пп. 17 п. 2 ст. 17 Федерального закона от 24.07.1998 </w:t>
      </w:r>
      <w:r>
        <w:rPr>
          <w:rFonts w:ascii="Times New Roman" w:hAnsi="Times New Roman" w:cs="Times New Roman"/>
          <w:i/>
          <w:iCs/>
          <w:sz w:val="24"/>
          <w:szCs w:val="24"/>
          <w:lang w:val="ru-RU"/>
        </w:rPr>
        <w:t>№</w:t>
      </w:r>
      <w:r>
        <w:rPr>
          <w:rFonts w:ascii="Times New Roman" w:hAnsi="Times New Roman" w:cs="Times New Roman"/>
          <w:i/>
          <w:iCs/>
          <w:sz w:val="24"/>
          <w:szCs w:val="24"/>
        </w:rPr>
        <w:t xml:space="preserve"> 125-ФЗ)</w:t>
      </w: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rPr>
          <w:rFonts w:ascii="Times New Roman" w:hAnsi="Times New Roman" w:cs="Times New Roman"/>
          <w:sz w:val="24"/>
          <w:szCs w:val="24"/>
        </w:rPr>
      </w:pPr>
    </w:p>
    <w:p>
      <w:pPr>
        <w:pStyle w:val="44"/>
        <w:jc w:val="right"/>
        <w:rPr>
          <w:rFonts w:ascii="Times New Roman" w:hAnsi="Times New Roman" w:cs="Times New Roman"/>
          <w:sz w:val="24"/>
          <w:szCs w:val="24"/>
          <w:lang w:val="ru-RU"/>
        </w:rPr>
      </w:pPr>
      <w:r>
        <w:rPr>
          <w:rFonts w:ascii="Times New Roman" w:hAnsi="Times New Roman" w:cs="Times New Roman"/>
          <w:sz w:val="24"/>
          <w:szCs w:val="24"/>
        </w:rPr>
        <w:t xml:space="preserve">Приложение к Учетной политике </w:t>
      </w:r>
      <w:r>
        <w:rPr>
          <w:rFonts w:ascii="Times New Roman" w:hAnsi="Times New Roman" w:cs="Times New Roman"/>
          <w:sz w:val="24"/>
          <w:szCs w:val="24"/>
          <w:lang w:val="ru-RU"/>
        </w:rPr>
        <w:t>ООО "Ppt.ru"</w:t>
      </w:r>
    </w:p>
    <w:p>
      <w:pPr>
        <w:pStyle w:val="44"/>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1. Расчет доли расходов на операции, не облагаемые НДС, в совокупных расходах на приобретение, производство, реализацию товаров (работ, услуг), имущественных прав</w:t>
      </w:r>
    </w:p>
    <w:p>
      <w:pPr>
        <w:pStyle w:val="44"/>
        <w:rPr>
          <w:rFonts w:ascii="Times New Roman" w:hAnsi="Times New Roman" w:cs="Times New Roman"/>
          <w:sz w:val="24"/>
          <w:szCs w:val="24"/>
        </w:rPr>
      </w:pPr>
      <w:r>
        <w:rPr>
          <w:rFonts w:ascii="Times New Roman" w:hAnsi="Times New Roman" w:cs="Times New Roman"/>
          <w:sz w:val="24"/>
          <w:szCs w:val="24"/>
        </w:rPr>
        <w:t>2. Регистр раздельного учета расходов</w:t>
      </w:r>
    </w:p>
    <w:p>
      <w:pPr>
        <w:pStyle w:val="44"/>
        <w:rPr>
          <w:rFonts w:ascii="Times New Roman" w:hAnsi="Times New Roman" w:cs="Times New Roman"/>
          <w:sz w:val="24"/>
          <w:szCs w:val="24"/>
        </w:rPr>
      </w:pPr>
      <w:r>
        <w:rPr>
          <w:rFonts w:ascii="Times New Roman" w:hAnsi="Times New Roman" w:cs="Times New Roman"/>
          <w:sz w:val="24"/>
          <w:szCs w:val="24"/>
        </w:rPr>
        <w:t>3. Расчет НДС, подлежащего вычету (отнесению на затраты), восстановлению в соответствии с пп. 6 п. 3 ст. 170 НК РФ</w:t>
      </w:r>
    </w:p>
    <w:p>
      <w:pPr>
        <w:pStyle w:val="44"/>
        <w:rPr>
          <w:rFonts w:ascii="Times New Roman" w:hAnsi="Times New Roman" w:cs="Times New Roman"/>
          <w:sz w:val="24"/>
          <w:szCs w:val="24"/>
        </w:rPr>
      </w:pPr>
      <w:r>
        <w:rPr>
          <w:rFonts w:ascii="Times New Roman" w:hAnsi="Times New Roman" w:cs="Times New Roman"/>
          <w:sz w:val="24"/>
          <w:szCs w:val="24"/>
        </w:rPr>
        <w:t>4. Формы регистров налогового учета</w:t>
      </w:r>
    </w:p>
    <w:p>
      <w:pPr>
        <w:pStyle w:val="44"/>
        <w:rPr>
          <w:rFonts w:ascii="Times New Roman" w:hAnsi="Times New Roman" w:cs="Times New Roman"/>
          <w:sz w:val="24"/>
          <w:szCs w:val="24"/>
        </w:rPr>
      </w:pPr>
      <w:r>
        <w:rPr>
          <w:rFonts w:ascii="Times New Roman" w:hAnsi="Times New Roman" w:cs="Times New Roman"/>
          <w:sz w:val="24"/>
          <w:szCs w:val="24"/>
        </w:rPr>
        <w:t>5. Расчет (смета) предельной суммы и ежемесячного процента отчислений в резерв на оплату отпусков</w:t>
      </w:r>
    </w:p>
    <w:p>
      <w:pPr>
        <w:pStyle w:val="44"/>
        <w:rPr>
          <w:rFonts w:ascii="Times New Roman" w:hAnsi="Times New Roman" w:cs="Times New Roman"/>
          <w:sz w:val="24"/>
          <w:szCs w:val="24"/>
        </w:rPr>
      </w:pPr>
      <w:r>
        <w:rPr>
          <w:rFonts w:ascii="Times New Roman" w:hAnsi="Times New Roman" w:cs="Times New Roman"/>
          <w:sz w:val="24"/>
          <w:szCs w:val="24"/>
        </w:rPr>
        <w:t>6. Налоговый регистр по НДФЛ</w:t>
      </w:r>
    </w:p>
    <w:p>
      <w:pPr>
        <w:pStyle w:val="44"/>
        <w:rPr>
          <w:rFonts w:ascii="Times New Roman" w:hAnsi="Times New Roman" w:cs="Times New Roman"/>
          <w:sz w:val="24"/>
          <w:szCs w:val="24"/>
        </w:rPr>
      </w:pPr>
      <w:r>
        <w:rPr>
          <w:rFonts w:ascii="Times New Roman" w:hAnsi="Times New Roman" w:cs="Times New Roman"/>
          <w:sz w:val="24"/>
          <w:szCs w:val="24"/>
        </w:rPr>
        <w:t>7. Регистр (карточка) индивидуального учета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p>
    <w:p>
      <w:pPr>
        <w:pStyle w:val="44"/>
        <w:rPr>
          <w:rFonts w:ascii="Times New Roman" w:hAnsi="Times New Roman" w:cs="Times New Roman"/>
          <w:sz w:val="24"/>
          <w:szCs w:val="24"/>
        </w:rPr>
      </w:pPr>
      <w:r>
        <w:rPr>
          <w:rFonts w:ascii="Times New Roman" w:hAnsi="Times New Roman" w:cs="Times New Roman"/>
          <w:sz w:val="24"/>
          <w:szCs w:val="24"/>
        </w:rPr>
        <w:t>8. Регистр (карточка) индивидуального учета начислений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1. Расчет доли расходов на операции, не облагаемые НДС,</w:t>
      </w:r>
    </w:p>
    <w:p>
      <w:pPr>
        <w:pStyle w:val="44"/>
        <w:jc w:val="center"/>
        <w:rPr>
          <w:rFonts w:ascii="Times New Roman" w:hAnsi="Times New Roman" w:cs="Times New Roman"/>
          <w:sz w:val="24"/>
          <w:szCs w:val="24"/>
        </w:rPr>
      </w:pPr>
      <w:r>
        <w:rPr>
          <w:rFonts w:ascii="Times New Roman" w:hAnsi="Times New Roman" w:cs="Times New Roman"/>
          <w:b/>
          <w:bCs/>
          <w:sz w:val="24"/>
          <w:szCs w:val="24"/>
        </w:rPr>
        <w:t>в совокупных расходах на приобретение, производство,</w:t>
      </w:r>
    </w:p>
    <w:p>
      <w:pPr>
        <w:pStyle w:val="44"/>
        <w:jc w:val="center"/>
        <w:rPr>
          <w:rFonts w:ascii="Times New Roman" w:hAnsi="Times New Roman" w:cs="Times New Roman"/>
          <w:sz w:val="24"/>
          <w:szCs w:val="24"/>
        </w:rPr>
      </w:pPr>
      <w:r>
        <w:rPr>
          <w:rFonts w:ascii="Times New Roman" w:hAnsi="Times New Roman" w:cs="Times New Roman"/>
          <w:b/>
          <w:bCs/>
          <w:sz w:val="24"/>
          <w:szCs w:val="24"/>
        </w:rPr>
        <w:t>реализацию товаров (работ, услуг), имущественных прав</w:t>
      </w:r>
    </w:p>
    <w:p>
      <w:pPr>
        <w:pStyle w:val="44"/>
        <w:jc w:val="center"/>
        <w:rPr>
          <w:rFonts w:ascii="Times New Roman" w:hAnsi="Times New Roman" w:cs="Times New Roman"/>
          <w:sz w:val="24"/>
          <w:szCs w:val="24"/>
        </w:rPr>
      </w:pPr>
      <w:r>
        <w:rPr>
          <w:rFonts w:ascii="Times New Roman" w:hAnsi="Times New Roman" w:cs="Times New Roman"/>
          <w:b/>
          <w:bCs/>
          <w:sz w:val="24"/>
          <w:szCs w:val="24"/>
        </w:rPr>
        <w:t>за</w:t>
      </w:r>
      <w:r>
        <w:rPr>
          <w:rFonts w:ascii="Times New Roman" w:hAnsi="Times New Roman" w:cs="Times New Roman"/>
          <w:sz w:val="24"/>
          <w:szCs w:val="24"/>
        </w:rPr>
        <w:t xml:space="preserve"> _____________________</w:t>
      </w:r>
    </w:p>
    <w:p>
      <w:pPr>
        <w:pStyle w:val="44"/>
        <w:ind w:left="4253" w:right="3968"/>
        <w:jc w:val="center"/>
        <w:rPr>
          <w:rFonts w:ascii="Times New Roman" w:hAnsi="Times New Roman" w:cs="Times New Roman"/>
          <w:sz w:val="24"/>
          <w:szCs w:val="24"/>
        </w:rPr>
      </w:pPr>
      <w:r>
        <w:rPr>
          <w:rFonts w:ascii="Times New Roman" w:hAnsi="Times New Roman" w:cs="Times New Roman"/>
          <w:b/>
          <w:bCs/>
          <w:sz w:val="24"/>
          <w:szCs w:val="24"/>
        </w:rPr>
        <w:t>(налоговый период)</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57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строки</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производство, реализацию товаров (работ, услуг), имущественных прав, операции по реализации которых облагаются НДС</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производство, реализацию товаров (работ, услуг), имущественных прав, операции по реализации которых не облагаются НДС</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общехозяйственных расходов, непосредственно не связанных с облагаемыми или не облагаемыми НДС операциями</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общехозяйственных расходов, отнесенных (распределенных) к не облагаемым НДС операциям</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совокупных расходов на приобретение, производство, реализацию товаров (работ, услуг), имущественных прав (стр. 1 + стр. 2 + стр. 3)</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Сумма совокупных расходов на приобретение, производство, реализацию товаров (работ, услуг), имущественных прав, операции по реализации которых не облагаются НДС (стр. 2 + стр. 4)</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c>
          <w:tcPr>
            <w:tcW w:w="7572" w:type="dxa"/>
            <w:tcBorders>
              <w:top w:val="single" w:color="auto" w:sz="6" w:space="0"/>
              <w:left w:val="single" w:color="auto" w:sz="6" w:space="0"/>
              <w:bottom w:val="single" w:color="auto" w:sz="6" w:space="0"/>
              <w:right w:val="single" w:color="auto" w:sz="6" w:space="0"/>
            </w:tcBorders>
          </w:tcPr>
          <w:p>
            <w:pPr>
              <w:pStyle w:val="45"/>
              <w:autoSpaceDE/>
              <w:jc w:val="left"/>
            </w:pPr>
            <w:r>
              <w:t>Доля совокупных расходов на операции, не облагаемые НДС, в сумме совокупных расходов на приобретение, производство, реализацию товаров (работ, услуг), имущественных прав (стр. 6 / стр. 5 x 100%)</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__________ %</w:t>
            </w:r>
          </w:p>
        </w:tc>
      </w:tr>
    </w:tbl>
    <w:p>
      <w:pPr>
        <w:pStyle w:val="44"/>
        <w:rPr>
          <w:rFonts w:ascii="Times New Roman" w:hAnsi="Times New Roman" w:cs="Times New Roman"/>
          <w:sz w:val="24"/>
          <w:szCs w:val="24"/>
        </w:rPr>
      </w:pPr>
    </w:p>
    <w:tbl>
      <w:tblPr>
        <w:tblStyle w:val="2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79"/>
        <w:gridCol w:w="2126"/>
        <w:gridCol w:w="284"/>
        <w:gridCol w:w="2268"/>
        <w:gridCol w:w="28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Borders>
              <w:top w:val="nil"/>
              <w:left w:val="nil"/>
              <w:bottom w:val="single" w:color="auto" w:sz="6" w:space="0"/>
              <w:right w:val="nil"/>
            </w:tcBorders>
          </w:tcPr>
          <w:p>
            <w:pPr>
              <w:pStyle w:val="45"/>
              <w:autoSpaceDE/>
              <w:jc w:val="center"/>
            </w:pPr>
            <w:r>
              <w:t>(дата)</w:t>
            </w:r>
          </w:p>
        </w:tc>
        <w:tc>
          <w:tcPr>
            <w:tcW w:w="279" w:type="dxa"/>
            <w:tcBorders>
              <w:top w:val="nil"/>
              <w:left w:val="nil"/>
              <w:bottom w:val="nil"/>
              <w:right w:val="nil"/>
            </w:tcBorders>
          </w:tcPr>
          <w:p>
            <w:pPr>
              <w:pStyle w:val="45"/>
              <w:autoSpaceDE/>
              <w:jc w:val="left"/>
            </w:pPr>
          </w:p>
        </w:tc>
        <w:tc>
          <w:tcPr>
            <w:tcW w:w="2126" w:type="dxa"/>
            <w:tcBorders>
              <w:top w:val="nil"/>
              <w:left w:val="nil"/>
              <w:bottom w:val="single" w:color="auto" w:sz="6" w:space="0"/>
              <w:right w:val="nil"/>
            </w:tcBorders>
          </w:tcPr>
          <w:p>
            <w:pPr>
              <w:pStyle w:val="45"/>
              <w:autoSpaceDE/>
              <w:jc w:val="center"/>
            </w:pPr>
            <w:r>
              <w:t>(должность)</w:t>
            </w:r>
          </w:p>
        </w:tc>
        <w:tc>
          <w:tcPr>
            <w:tcW w:w="284" w:type="dxa"/>
            <w:tcBorders>
              <w:top w:val="nil"/>
              <w:left w:val="nil"/>
              <w:bottom w:val="nil"/>
              <w:right w:val="nil"/>
            </w:tcBorders>
          </w:tcPr>
          <w:p>
            <w:pPr>
              <w:pStyle w:val="45"/>
              <w:autoSpaceDE/>
              <w:jc w:val="left"/>
            </w:pPr>
          </w:p>
        </w:tc>
        <w:tc>
          <w:tcPr>
            <w:tcW w:w="2268" w:type="dxa"/>
            <w:tcBorders>
              <w:top w:val="nil"/>
              <w:left w:val="nil"/>
              <w:bottom w:val="single" w:color="auto" w:sz="6" w:space="0"/>
              <w:right w:val="nil"/>
            </w:tcBorders>
          </w:tcPr>
          <w:p>
            <w:pPr>
              <w:pStyle w:val="45"/>
              <w:autoSpaceDE/>
              <w:jc w:val="center"/>
            </w:pPr>
            <w:r>
              <w:t>(Ф.И.О.)</w:t>
            </w:r>
          </w:p>
        </w:tc>
        <w:tc>
          <w:tcPr>
            <w:tcW w:w="283" w:type="dxa"/>
            <w:tcBorders>
              <w:top w:val="nil"/>
              <w:left w:val="nil"/>
              <w:bottom w:val="nil"/>
              <w:right w:val="nil"/>
            </w:tcBorders>
          </w:tcPr>
          <w:p>
            <w:pPr>
              <w:pStyle w:val="45"/>
              <w:autoSpaceDE/>
              <w:jc w:val="left"/>
            </w:pPr>
          </w:p>
        </w:tc>
        <w:tc>
          <w:tcPr>
            <w:tcW w:w="1701" w:type="dxa"/>
            <w:tcBorders>
              <w:top w:val="nil"/>
              <w:left w:val="nil"/>
              <w:bottom w:val="single" w:color="auto" w:sz="6" w:space="0"/>
              <w:right w:val="nil"/>
            </w:tcBorders>
          </w:tcPr>
          <w:p>
            <w:pPr>
              <w:pStyle w:val="45"/>
              <w:autoSpaceDE/>
              <w:jc w:val="center"/>
            </w:pPr>
            <w:r>
              <w:t>(подпись)</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2. Регистр раздельного учета расходов</w:t>
      </w:r>
    </w:p>
    <w:p>
      <w:pPr>
        <w:pStyle w:val="44"/>
        <w:jc w:val="center"/>
        <w:rPr>
          <w:rFonts w:ascii="Times New Roman" w:hAnsi="Times New Roman" w:cs="Times New Roman"/>
          <w:sz w:val="24"/>
          <w:szCs w:val="24"/>
        </w:rPr>
      </w:pPr>
      <w:r>
        <w:rPr>
          <w:rFonts w:ascii="Times New Roman" w:hAnsi="Times New Roman" w:cs="Times New Roman"/>
          <w:b/>
          <w:bCs/>
          <w:sz w:val="24"/>
          <w:szCs w:val="24"/>
        </w:rPr>
        <w:t>за</w:t>
      </w:r>
      <w:r>
        <w:rPr>
          <w:rFonts w:ascii="Times New Roman" w:hAnsi="Times New Roman" w:cs="Times New Roman"/>
          <w:sz w:val="24"/>
          <w:szCs w:val="24"/>
        </w:rPr>
        <w:t xml:space="preserve"> ___ </w:t>
      </w:r>
      <w:r>
        <w:rPr>
          <w:rFonts w:ascii="Times New Roman" w:hAnsi="Times New Roman" w:cs="Times New Roman"/>
          <w:b/>
          <w:bCs/>
          <w:sz w:val="24"/>
          <w:szCs w:val="24"/>
        </w:rPr>
        <w:t>квартал</w:t>
      </w:r>
      <w:r>
        <w:rPr>
          <w:rFonts w:ascii="Times New Roman" w:hAnsi="Times New Roman" w:cs="Times New Roman"/>
          <w:sz w:val="24"/>
          <w:szCs w:val="24"/>
        </w:rPr>
        <w:t xml:space="preserve"> _____ </w:t>
      </w:r>
      <w:r>
        <w:rPr>
          <w:rFonts w:ascii="Times New Roman" w:hAnsi="Times New Roman" w:cs="Times New Roman"/>
          <w:b/>
          <w:bCs/>
          <w:sz w:val="24"/>
          <w:szCs w:val="24"/>
        </w:rPr>
        <w:t>года</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строки</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производство, реализацию товаров (работ, услуг), имущественных прав, операции по реализации которых не облагаются НДС, всего</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в том числе: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производство, реализацию товаров (работ, услуг), имущественных прав, операции по реализации которых облагаются НДС, всего</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в том числе: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общехозяйственных расходов, которые нельзя отнести непосредственно к облагаемым НДС или к не облагаемым НДС операциям, всего</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в том числе: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bl>
    <w:p>
      <w:pPr>
        <w:pStyle w:val="44"/>
        <w:rPr>
          <w:rFonts w:ascii="Times New Roman" w:hAnsi="Times New Roman" w:cs="Times New Roman"/>
          <w:sz w:val="24"/>
          <w:szCs w:val="24"/>
        </w:rPr>
      </w:pPr>
    </w:p>
    <w:tbl>
      <w:tblPr>
        <w:tblStyle w:val="2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79"/>
        <w:gridCol w:w="2126"/>
        <w:gridCol w:w="284"/>
        <w:gridCol w:w="2268"/>
        <w:gridCol w:w="28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Borders>
              <w:top w:val="nil"/>
              <w:left w:val="nil"/>
              <w:bottom w:val="single" w:color="auto" w:sz="6" w:space="0"/>
              <w:right w:val="nil"/>
            </w:tcBorders>
          </w:tcPr>
          <w:p>
            <w:pPr>
              <w:pStyle w:val="45"/>
              <w:autoSpaceDE/>
              <w:jc w:val="center"/>
            </w:pPr>
            <w:r>
              <w:t>(дата)</w:t>
            </w:r>
          </w:p>
        </w:tc>
        <w:tc>
          <w:tcPr>
            <w:tcW w:w="279" w:type="dxa"/>
            <w:tcBorders>
              <w:top w:val="nil"/>
              <w:left w:val="nil"/>
              <w:bottom w:val="nil"/>
              <w:right w:val="nil"/>
            </w:tcBorders>
          </w:tcPr>
          <w:p>
            <w:pPr>
              <w:pStyle w:val="45"/>
              <w:autoSpaceDE/>
              <w:jc w:val="left"/>
            </w:pPr>
          </w:p>
        </w:tc>
        <w:tc>
          <w:tcPr>
            <w:tcW w:w="2126" w:type="dxa"/>
            <w:tcBorders>
              <w:top w:val="nil"/>
              <w:left w:val="nil"/>
              <w:bottom w:val="single" w:color="auto" w:sz="6" w:space="0"/>
              <w:right w:val="nil"/>
            </w:tcBorders>
          </w:tcPr>
          <w:p>
            <w:pPr>
              <w:pStyle w:val="45"/>
              <w:autoSpaceDE/>
              <w:jc w:val="center"/>
            </w:pPr>
            <w:r>
              <w:t>(должность)</w:t>
            </w:r>
          </w:p>
        </w:tc>
        <w:tc>
          <w:tcPr>
            <w:tcW w:w="284" w:type="dxa"/>
            <w:tcBorders>
              <w:top w:val="nil"/>
              <w:left w:val="nil"/>
              <w:bottom w:val="nil"/>
              <w:right w:val="nil"/>
            </w:tcBorders>
          </w:tcPr>
          <w:p>
            <w:pPr>
              <w:pStyle w:val="45"/>
              <w:autoSpaceDE/>
              <w:jc w:val="left"/>
            </w:pPr>
          </w:p>
        </w:tc>
        <w:tc>
          <w:tcPr>
            <w:tcW w:w="2268" w:type="dxa"/>
            <w:tcBorders>
              <w:top w:val="nil"/>
              <w:left w:val="nil"/>
              <w:bottom w:val="single" w:color="auto" w:sz="6" w:space="0"/>
              <w:right w:val="nil"/>
            </w:tcBorders>
          </w:tcPr>
          <w:p>
            <w:pPr>
              <w:pStyle w:val="45"/>
              <w:autoSpaceDE/>
              <w:jc w:val="center"/>
            </w:pPr>
            <w:r>
              <w:t>(Ф.И.О.)</w:t>
            </w:r>
          </w:p>
        </w:tc>
        <w:tc>
          <w:tcPr>
            <w:tcW w:w="283" w:type="dxa"/>
            <w:tcBorders>
              <w:top w:val="nil"/>
              <w:left w:val="nil"/>
              <w:bottom w:val="nil"/>
              <w:right w:val="nil"/>
            </w:tcBorders>
          </w:tcPr>
          <w:p>
            <w:pPr>
              <w:pStyle w:val="45"/>
              <w:autoSpaceDE/>
              <w:jc w:val="left"/>
            </w:pPr>
          </w:p>
        </w:tc>
        <w:tc>
          <w:tcPr>
            <w:tcW w:w="1701" w:type="dxa"/>
            <w:tcBorders>
              <w:top w:val="nil"/>
              <w:left w:val="nil"/>
              <w:bottom w:val="single" w:color="auto" w:sz="6" w:space="0"/>
              <w:right w:val="nil"/>
            </w:tcBorders>
          </w:tcPr>
          <w:p>
            <w:pPr>
              <w:pStyle w:val="45"/>
              <w:autoSpaceDE/>
              <w:jc w:val="center"/>
            </w:pPr>
            <w:r>
              <w:t>(подпись)</w:t>
            </w:r>
          </w:p>
        </w:tc>
      </w:tr>
    </w:tbl>
    <w:p>
      <w:pPr>
        <w:pStyle w:val="44"/>
        <w:rPr>
          <w:rFonts w:ascii="Times New Roman" w:hAnsi="Times New Roman" w:cs="Times New Roman"/>
          <w:sz w:val="24"/>
          <w:szCs w:val="24"/>
        </w:rPr>
      </w:pPr>
    </w:p>
    <w:p>
      <w:pPr>
        <w:pStyle w:val="44"/>
        <w:jc w:val="center"/>
        <w:rPr>
          <w:rFonts w:ascii="Times New Roman" w:hAnsi="Times New Roman" w:cs="Times New Roman"/>
          <w:b/>
          <w:bCs/>
          <w:sz w:val="24"/>
          <w:szCs w:val="24"/>
        </w:rPr>
      </w:pPr>
      <w:r>
        <w:rPr>
          <w:rFonts w:ascii="Times New Roman" w:hAnsi="Times New Roman" w:cs="Times New Roman"/>
          <w:b/>
          <w:bCs/>
          <w:sz w:val="24"/>
          <w:szCs w:val="24"/>
        </w:rPr>
        <w:t>3. Расчет НДС, подлежащего вычету (отнесению на затраты),</w:t>
      </w:r>
    </w:p>
    <w:p>
      <w:pPr>
        <w:pStyle w:val="44"/>
        <w:jc w:val="center"/>
        <w:rPr>
          <w:rFonts w:ascii="Times New Roman" w:hAnsi="Times New Roman" w:cs="Times New Roman"/>
          <w:sz w:val="24"/>
          <w:szCs w:val="24"/>
        </w:rPr>
      </w:pPr>
      <w:r>
        <w:rPr>
          <w:rFonts w:ascii="Times New Roman" w:hAnsi="Times New Roman" w:cs="Times New Roman"/>
          <w:b/>
          <w:bCs/>
          <w:sz w:val="24"/>
          <w:szCs w:val="24"/>
        </w:rPr>
        <w:t>восстановлению в соответствии с п. 2.1, пп. 6 п. 3 ст. 170 НК РФ,</w:t>
      </w:r>
    </w:p>
    <w:p>
      <w:pPr>
        <w:pStyle w:val="44"/>
        <w:jc w:val="center"/>
        <w:rPr>
          <w:rFonts w:ascii="Times New Roman" w:hAnsi="Times New Roman" w:cs="Times New Roman"/>
          <w:sz w:val="24"/>
          <w:szCs w:val="24"/>
        </w:rPr>
      </w:pPr>
      <w:r>
        <w:rPr>
          <w:rFonts w:ascii="Times New Roman" w:hAnsi="Times New Roman" w:cs="Times New Roman"/>
          <w:b/>
          <w:bCs/>
          <w:sz w:val="24"/>
          <w:szCs w:val="24"/>
        </w:rPr>
        <w:t>за</w:t>
      </w:r>
      <w:r>
        <w:rPr>
          <w:rFonts w:ascii="Times New Roman" w:hAnsi="Times New Roman" w:cs="Times New Roman"/>
          <w:sz w:val="24"/>
          <w:szCs w:val="24"/>
        </w:rPr>
        <w:t xml:space="preserve"> ________________________</w:t>
      </w:r>
    </w:p>
    <w:p>
      <w:pPr>
        <w:pStyle w:val="44"/>
        <w:tabs>
          <w:tab w:val="left" w:pos="10632"/>
        </w:tabs>
        <w:ind w:left="3969" w:right="3684"/>
        <w:jc w:val="center"/>
        <w:rPr>
          <w:rFonts w:ascii="Times New Roman" w:hAnsi="Times New Roman" w:cs="Times New Roman"/>
          <w:sz w:val="24"/>
          <w:szCs w:val="24"/>
        </w:rPr>
      </w:pPr>
      <w:r>
        <w:rPr>
          <w:rFonts w:ascii="Times New Roman" w:hAnsi="Times New Roman" w:cs="Times New Roman"/>
          <w:b/>
          <w:bCs/>
          <w:sz w:val="24"/>
          <w:szCs w:val="24"/>
        </w:rPr>
        <w:t>(налоговый период)</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1. Расчет НДС, подлежащего вычету (отнесению на расходы), при приобретении товаров (работ, услуг, имущественных прав) за счет предоставленной субсидии (бюджетных инвестиций).</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строки</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товаров (работ, услуг), в том числе ОС, НМА, имущественных прав (с учетом сумм НДС), приобретенных полностью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предъявленная при приобретении товаров (работ, услуг), в том числе ОС, НМА, имущественных прав и (или) уплаченная при ввозе товаров на территорию РФ и иные территории, находящиеся под ее юрисдикцией, полностью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товаров (работ, услуг), в том числе ОС, НМА, имущественных прав (с учетом сумм НДС), приобретенных частично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предъявленная при приобретении товаров (работ, услуг), в том числе ОС, НМА, имущественных прав и (или) уплаченная при ввозе товаров на территорию РФ и иные территории, находящиеся под ее юрисдикцией, частично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субсидий и (или) бюджетных инвестиций, направленная на покрытие расходов на приобретение товаров (работ, услуг), в том числе ОС, НМА, имущественных прав (с учетом сумм НДС)</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Доля НДС, учитываемого в составе прочих расходов (стр. 5 / стр. 3)</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учитываемого в составе прочих расходов ((стр. 4 x стр. 6) + стр. 2)</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8</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к вычету (стр. 4 x (1 - стр. 6))</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2. Расчет НДС, подлежащего восстановлению, при получении субсидии (бюджетных инвестиций) на возмещение расходов на приобретение определенных товаров (работ, услуг, имущественных прав)</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строки</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center"/>
            </w:pPr>
            <w:r>
              <w:t>Наименование</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товаров (работ, услуг), в том числе ОС, НМА, имущественных прав (с учетом сумм НДС), покрытых полностью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принятая к вычету при приобретении товаров (работ, услуг), в том числе ОС, НМА, имущественных прав и (или) уплаченная и принятая к вычету при ввозе товаров на территорию РФ и иные территории, находящиеся под ее юрисдикцией, полностью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расходов на приобретение товаров (работ, услуг), в том числе ОС, НМА, имущественных прав (с учетом сумм НДС), покрытых частично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принятая к вычету при приобретении товаров (работ, услуг), в том числе ОС, НМА, имущественных прав и (или) уплаченная и принятая к вычету при ввозе товаров на территорию РФ и иные территории, находящиеся под ее юрисдикцией, частично за счет субсидий и (или)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субсидий и (или) бюджетных инвестиций, направленная на покрытие (частичное) расходов на приобретение товаров (работ, услуг), в том числе ОС, НМА, имущественных прав (с учетом сумм НДС)</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Доля НДС, подлежащего восстановлению (стр. 5 / стр. 3)</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подлежащего восстановлению ((стр. 4 x стр. 6) + стр. 2)</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3. Расчет НДС, подлежащего восстановлению, если конкретные товары (работы, услуги, имущественные права), затраты на приобретение которых возмещаются за счет субсидий (бюджетных инвестиций), не определены</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субсидий (бюджетных инвестиций), полученных на возмещение ранее понесенных затрат</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совокупных расходов на приобретение, производство и (или) реализацию товаров (работ, услуг), имущественных прав (с учетом сумм НДС), осуществленных в течение календарного года, предшествовавшего году получения субсидий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принятого к вычету в течение календарного года, предшествовавшего году получения субсидий (бюджетных инвестиций)</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Доля НДС, подлежащего восстановлению</w:t>
            </w:r>
          </w:p>
          <w:p>
            <w:pPr>
              <w:pStyle w:val="45"/>
              <w:autoSpaceDE/>
              <w:jc w:val="left"/>
            </w:pPr>
            <w:r>
              <w:t>(стр. 1 / стр. 2)</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564"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подлежащего восстановлению</w:t>
            </w:r>
          </w:p>
          <w:p>
            <w:pPr>
              <w:pStyle w:val="45"/>
              <w:autoSpaceDE/>
              <w:jc w:val="left"/>
            </w:pPr>
            <w:r>
              <w:t>(стр. 3 x стр. 4)</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Раздел 4. Расчет НДС, подлежащего восстановлению, если отсутствует раздельный учет затрат, осуществляемых за счет субсидий (бюджетных инвестиций) и за счет других источников (заполняется только за IV квартал календарного года)</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6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Сумма субсидий (бюджетных инвестиций), полученных на покрытие затрат</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Сумма совокупных расходов на приобретение, производство и (или) реализацию товаров (работ, услуг), имущественных прав (с учетом сумм НДС), осуществленных в течение календарного года, получения субсидий (бюджетных инвестиций), начиная с квартала их получения</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принятого к вычету в течение календарного года, получения субсидий (бюджетных инвестиций), начиная с квартала их получения</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Доля НДС, подлежащего восстановлению</w:t>
            </w:r>
          </w:p>
          <w:p>
            <w:pPr>
              <w:pStyle w:val="45"/>
              <w:autoSpaceDE/>
              <w:jc w:val="left"/>
            </w:pPr>
            <w:r>
              <w:t>(стр. 1 / стр. 2)</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Сумма НДС, подлежащего восстановлению</w:t>
            </w:r>
          </w:p>
          <w:p>
            <w:pPr>
              <w:pStyle w:val="45"/>
              <w:autoSpaceDE/>
              <w:jc w:val="left"/>
            </w:pPr>
            <w:r>
              <w:t>(стр. 3 x стр. 4)</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_________ руб.</w:t>
            </w:r>
          </w:p>
        </w:tc>
      </w:tr>
    </w:tbl>
    <w:p>
      <w:pPr>
        <w:pStyle w:val="44"/>
        <w:rPr>
          <w:rFonts w:ascii="Times New Roman" w:hAnsi="Times New Roman" w:cs="Times New Roman"/>
          <w:sz w:val="24"/>
          <w:szCs w:val="24"/>
        </w:rPr>
      </w:pPr>
    </w:p>
    <w:tbl>
      <w:tblPr>
        <w:tblStyle w:val="2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79"/>
        <w:gridCol w:w="2126"/>
        <w:gridCol w:w="284"/>
        <w:gridCol w:w="2268"/>
        <w:gridCol w:w="28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Borders>
              <w:top w:val="nil"/>
              <w:left w:val="nil"/>
              <w:bottom w:val="single" w:color="auto" w:sz="6" w:space="0"/>
              <w:right w:val="nil"/>
            </w:tcBorders>
          </w:tcPr>
          <w:p>
            <w:pPr>
              <w:pStyle w:val="45"/>
              <w:autoSpaceDE/>
              <w:jc w:val="center"/>
            </w:pPr>
            <w:r>
              <w:t>(дата)</w:t>
            </w:r>
          </w:p>
        </w:tc>
        <w:tc>
          <w:tcPr>
            <w:tcW w:w="279" w:type="dxa"/>
            <w:tcBorders>
              <w:top w:val="nil"/>
              <w:left w:val="nil"/>
              <w:bottom w:val="nil"/>
              <w:right w:val="nil"/>
            </w:tcBorders>
          </w:tcPr>
          <w:p>
            <w:pPr>
              <w:pStyle w:val="45"/>
              <w:autoSpaceDE/>
              <w:jc w:val="left"/>
            </w:pPr>
          </w:p>
        </w:tc>
        <w:tc>
          <w:tcPr>
            <w:tcW w:w="2126" w:type="dxa"/>
            <w:tcBorders>
              <w:top w:val="nil"/>
              <w:left w:val="nil"/>
              <w:bottom w:val="single" w:color="auto" w:sz="6" w:space="0"/>
              <w:right w:val="nil"/>
            </w:tcBorders>
          </w:tcPr>
          <w:p>
            <w:pPr>
              <w:pStyle w:val="45"/>
              <w:autoSpaceDE/>
              <w:jc w:val="center"/>
            </w:pPr>
            <w:r>
              <w:t>(должность)</w:t>
            </w:r>
          </w:p>
        </w:tc>
        <w:tc>
          <w:tcPr>
            <w:tcW w:w="284" w:type="dxa"/>
            <w:tcBorders>
              <w:top w:val="nil"/>
              <w:left w:val="nil"/>
              <w:bottom w:val="nil"/>
              <w:right w:val="nil"/>
            </w:tcBorders>
          </w:tcPr>
          <w:p>
            <w:pPr>
              <w:pStyle w:val="45"/>
              <w:autoSpaceDE/>
              <w:jc w:val="left"/>
            </w:pPr>
          </w:p>
        </w:tc>
        <w:tc>
          <w:tcPr>
            <w:tcW w:w="2268" w:type="dxa"/>
            <w:tcBorders>
              <w:top w:val="nil"/>
              <w:left w:val="nil"/>
              <w:bottom w:val="single" w:color="auto" w:sz="6" w:space="0"/>
              <w:right w:val="nil"/>
            </w:tcBorders>
          </w:tcPr>
          <w:p>
            <w:pPr>
              <w:pStyle w:val="45"/>
              <w:autoSpaceDE/>
              <w:jc w:val="center"/>
            </w:pPr>
            <w:r>
              <w:t>(Ф.И.О.)</w:t>
            </w:r>
          </w:p>
        </w:tc>
        <w:tc>
          <w:tcPr>
            <w:tcW w:w="283" w:type="dxa"/>
            <w:tcBorders>
              <w:top w:val="nil"/>
              <w:left w:val="nil"/>
              <w:bottom w:val="nil"/>
              <w:right w:val="nil"/>
            </w:tcBorders>
          </w:tcPr>
          <w:p>
            <w:pPr>
              <w:pStyle w:val="45"/>
              <w:autoSpaceDE/>
              <w:jc w:val="left"/>
            </w:pPr>
          </w:p>
        </w:tc>
        <w:tc>
          <w:tcPr>
            <w:tcW w:w="1701" w:type="dxa"/>
            <w:tcBorders>
              <w:top w:val="nil"/>
              <w:left w:val="nil"/>
              <w:bottom w:val="single" w:color="auto" w:sz="6" w:space="0"/>
              <w:right w:val="nil"/>
            </w:tcBorders>
          </w:tcPr>
          <w:p>
            <w:pPr>
              <w:pStyle w:val="45"/>
              <w:autoSpaceDE/>
              <w:jc w:val="center"/>
            </w:pPr>
            <w:r>
              <w:t>(подпись)</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4. Формы регистров налогового учета</w:t>
      </w:r>
    </w:p>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sz w:val="24"/>
          <w:szCs w:val="24"/>
        </w:rPr>
        <w:t>Применяются регистры, формируемые бухгалтерской программой X</w:t>
      </w:r>
    </w:p>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5. Расчет (смета) предельной суммы</w:t>
      </w:r>
    </w:p>
    <w:p>
      <w:pPr>
        <w:pStyle w:val="44"/>
        <w:jc w:val="center"/>
        <w:rPr>
          <w:rFonts w:ascii="Times New Roman" w:hAnsi="Times New Roman" w:cs="Times New Roman"/>
          <w:sz w:val="24"/>
          <w:szCs w:val="24"/>
        </w:rPr>
      </w:pPr>
      <w:r>
        <w:rPr>
          <w:rFonts w:ascii="Times New Roman" w:hAnsi="Times New Roman" w:cs="Times New Roman"/>
          <w:b/>
          <w:bCs/>
          <w:sz w:val="24"/>
          <w:szCs w:val="24"/>
        </w:rPr>
        <w:t>и ежемесячного процента отчислений</w:t>
      </w:r>
    </w:p>
    <w:p>
      <w:pPr>
        <w:pStyle w:val="44"/>
        <w:jc w:val="center"/>
        <w:rPr>
          <w:rFonts w:ascii="Times New Roman" w:hAnsi="Times New Roman" w:cs="Times New Roman"/>
          <w:sz w:val="24"/>
          <w:szCs w:val="24"/>
        </w:rPr>
      </w:pPr>
      <w:r>
        <w:rPr>
          <w:rFonts w:ascii="Times New Roman" w:hAnsi="Times New Roman" w:cs="Times New Roman"/>
          <w:b/>
          <w:bCs/>
          <w:sz w:val="24"/>
          <w:szCs w:val="24"/>
        </w:rPr>
        <w:t>в резерв на оплату отпусков на 2025 г.</w:t>
      </w:r>
    </w:p>
    <w:p>
      <w:pPr>
        <w:pStyle w:val="44"/>
        <w:rPr>
          <w:rFonts w:ascii="Times New Roman" w:hAnsi="Times New Roman" w:cs="Times New Roman"/>
          <w:sz w:val="24"/>
          <w:szCs w:val="24"/>
        </w:rPr>
      </w:pPr>
    </w:p>
    <w:tbl>
      <w:tblPr>
        <w:tblStyle w:val="29"/>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6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rPr>
                <w:lang w:val="ru-RU"/>
              </w:rPr>
              <w:t>№</w:t>
            </w:r>
            <w:r>
              <w:t xml:space="preserve"> строки</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center"/>
            </w:pPr>
            <w:r>
              <w:t>Показатель</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1</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Предполагаемая сумма отпускных за год</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5 675 676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2</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Взносы на обязательное социальное страхование (ОПС, ОМС, страхование на случай временной нетрудоспособности и в связи с материнством) с предполагаемой суммы отпускных за год</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1 702 703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3</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Взносы на обязательное страхование от несчастных случаев на производстве и профессиональных заболеваний с предполагаемой суммы отпускных за год</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22 703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4</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rPr>
                <w:b/>
                <w:bCs/>
              </w:rPr>
              <w:t>Предельная сумма отчислений в резерв (предполагаемая сумма отпускных за год с учетом страховых взносов) (стр. 1 + стр. 2 + стр. 3)</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7 401 082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5</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Предполагаемая сумма расходов на оплату труда за год (без учета отпускных)</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66 970 000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6</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Взносы на обязательное социальное страхование (ОПС, ОМС, страхование на случай временной нетрудоспособности и в связи с материнством) с предполагаемой суммы расходов на оплату труда за год</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20 091 000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7</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Взносы на обязательное страхование от несчастных случаев на производстве и профессиональных заболеваний с предполагаемой суммы расходов на оплату труда за год</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267 880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8</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t>Предполагаемая сумма расходов на оплату труда за год с учетом страховых взносов (стр. 5 + стр. 6 + стр. 7)</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87 328 880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6" w:space="0"/>
              <w:left w:val="single" w:color="auto" w:sz="6" w:space="0"/>
              <w:bottom w:val="single" w:color="auto" w:sz="6" w:space="0"/>
              <w:right w:val="single" w:color="auto" w:sz="6" w:space="0"/>
            </w:tcBorders>
          </w:tcPr>
          <w:p>
            <w:pPr>
              <w:pStyle w:val="45"/>
              <w:autoSpaceDE/>
              <w:jc w:val="center"/>
            </w:pPr>
            <w:r>
              <w:t>9</w:t>
            </w:r>
          </w:p>
        </w:tc>
        <w:tc>
          <w:tcPr>
            <w:tcW w:w="7621" w:type="dxa"/>
            <w:tcBorders>
              <w:top w:val="single" w:color="auto" w:sz="6" w:space="0"/>
              <w:left w:val="single" w:color="auto" w:sz="6" w:space="0"/>
              <w:bottom w:val="single" w:color="auto" w:sz="6" w:space="0"/>
              <w:right w:val="single" w:color="auto" w:sz="6" w:space="0"/>
            </w:tcBorders>
          </w:tcPr>
          <w:p>
            <w:pPr>
              <w:pStyle w:val="45"/>
              <w:autoSpaceDE/>
              <w:jc w:val="left"/>
            </w:pPr>
            <w:r>
              <w:rPr>
                <w:b/>
                <w:bCs/>
              </w:rPr>
              <w:t>Ежемесячный процент отчислений в резерв ((стр. 4 / стр. 8) x 100%)</w:t>
            </w:r>
          </w:p>
        </w:tc>
        <w:tc>
          <w:tcPr>
            <w:tcW w:w="2126" w:type="dxa"/>
            <w:tcBorders>
              <w:top w:val="single" w:color="auto" w:sz="6" w:space="0"/>
              <w:left w:val="single" w:color="auto" w:sz="6" w:space="0"/>
              <w:bottom w:val="single" w:color="auto" w:sz="6" w:space="0"/>
              <w:right w:val="single" w:color="auto" w:sz="6" w:space="0"/>
            </w:tcBorders>
          </w:tcPr>
          <w:p>
            <w:pPr>
              <w:pStyle w:val="45"/>
              <w:autoSpaceDE/>
              <w:jc w:val="center"/>
            </w:pPr>
            <w:r>
              <w:t>8,47%</w:t>
            </w:r>
          </w:p>
        </w:tc>
      </w:tr>
    </w:tbl>
    <w:p>
      <w:pPr>
        <w:pStyle w:val="44"/>
        <w:rPr>
          <w:rFonts w:ascii="Times New Roman" w:hAnsi="Times New Roman" w:cs="Times New Roman"/>
          <w:sz w:val="24"/>
          <w:szCs w:val="24"/>
        </w:rPr>
      </w:pPr>
    </w:p>
    <w:tbl>
      <w:tblPr>
        <w:tblStyle w:val="29"/>
        <w:tblW w:w="7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1701"/>
        <w:gridCol w:w="283"/>
        <w:gridCol w:w="1701"/>
        <w:gridCol w:w="2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nil"/>
              <w:left w:val="nil"/>
              <w:bottom w:val="single" w:color="auto" w:sz="6" w:space="0"/>
              <w:right w:val="nil"/>
            </w:tcBorders>
          </w:tcPr>
          <w:p>
            <w:pPr>
              <w:pStyle w:val="45"/>
              <w:autoSpaceDE/>
              <w:jc w:val="center"/>
            </w:pPr>
            <w:r>
              <w:t>28.12.2024</w:t>
            </w:r>
          </w:p>
        </w:tc>
        <w:tc>
          <w:tcPr>
            <w:tcW w:w="284" w:type="dxa"/>
            <w:tcBorders>
              <w:top w:val="nil"/>
              <w:left w:val="nil"/>
              <w:bottom w:val="nil"/>
              <w:right w:val="nil"/>
            </w:tcBorders>
          </w:tcPr>
          <w:p>
            <w:pPr>
              <w:pStyle w:val="45"/>
              <w:autoSpaceDE/>
              <w:jc w:val="left"/>
            </w:pPr>
          </w:p>
        </w:tc>
        <w:tc>
          <w:tcPr>
            <w:tcW w:w="1701" w:type="dxa"/>
            <w:tcBorders>
              <w:top w:val="nil"/>
              <w:left w:val="nil"/>
              <w:bottom w:val="single" w:color="auto" w:sz="6" w:space="0"/>
              <w:right w:val="nil"/>
            </w:tcBorders>
          </w:tcPr>
          <w:p>
            <w:pPr>
              <w:pStyle w:val="45"/>
              <w:autoSpaceDE/>
              <w:jc w:val="center"/>
            </w:pPr>
            <w:r>
              <w:t>гл. бухгалтер</w:t>
            </w:r>
          </w:p>
        </w:tc>
        <w:tc>
          <w:tcPr>
            <w:tcW w:w="283" w:type="dxa"/>
            <w:tcBorders>
              <w:top w:val="nil"/>
              <w:left w:val="nil"/>
              <w:bottom w:val="nil"/>
              <w:right w:val="nil"/>
            </w:tcBorders>
          </w:tcPr>
          <w:p>
            <w:pPr>
              <w:pStyle w:val="45"/>
              <w:autoSpaceDE/>
              <w:jc w:val="left"/>
            </w:pPr>
          </w:p>
        </w:tc>
        <w:tc>
          <w:tcPr>
            <w:tcW w:w="1701" w:type="dxa"/>
            <w:tcBorders>
              <w:top w:val="nil"/>
              <w:left w:val="nil"/>
              <w:bottom w:val="single" w:color="auto" w:sz="6" w:space="0"/>
              <w:right w:val="nil"/>
            </w:tcBorders>
          </w:tcPr>
          <w:p>
            <w:pPr>
              <w:pStyle w:val="45"/>
              <w:autoSpaceDE/>
              <w:jc w:val="center"/>
            </w:pPr>
            <w:r>
              <w:t>И.К. Петрова</w:t>
            </w:r>
          </w:p>
        </w:tc>
        <w:tc>
          <w:tcPr>
            <w:tcW w:w="284" w:type="dxa"/>
            <w:tcBorders>
              <w:top w:val="nil"/>
              <w:left w:val="nil"/>
              <w:bottom w:val="nil"/>
              <w:right w:val="nil"/>
            </w:tcBorders>
          </w:tcPr>
          <w:p>
            <w:pPr>
              <w:pStyle w:val="45"/>
              <w:autoSpaceDE/>
              <w:jc w:val="left"/>
            </w:pPr>
          </w:p>
        </w:tc>
        <w:tc>
          <w:tcPr>
            <w:tcW w:w="1559" w:type="dxa"/>
            <w:tcBorders>
              <w:top w:val="nil"/>
              <w:left w:val="nil"/>
              <w:bottom w:val="single" w:color="auto" w:sz="6" w:space="0"/>
              <w:right w:val="nil"/>
            </w:tcBorders>
          </w:tcPr>
          <w:p>
            <w:pPr>
              <w:pStyle w:val="45"/>
              <w:autoSpaceDE/>
              <w:jc w:val="center"/>
            </w:pPr>
            <w:r>
              <w:rPr>
                <w:i/>
                <w:iCs/>
              </w:rPr>
              <w:t>Петрова</w:t>
            </w:r>
          </w:p>
        </w:tc>
      </w:tr>
    </w:tbl>
    <w:p>
      <w:pPr>
        <w:pStyle w:val="44"/>
        <w:rPr>
          <w:rFonts w:ascii="Times New Roman" w:hAnsi="Times New Roman" w:cs="Times New Roman"/>
          <w:sz w:val="24"/>
          <w:szCs w:val="24"/>
        </w:rPr>
        <w:sectPr>
          <w:pgSz w:w="11906" w:h="16838"/>
          <w:pgMar w:top="567" w:right="567" w:bottom="567" w:left="567" w:header="397" w:footer="0" w:gutter="0"/>
          <w:cols w:space="720" w:num="1"/>
        </w:sectPr>
      </w:pPr>
    </w:p>
    <w:p>
      <w:pPr>
        <w:pStyle w:val="44"/>
        <w:rPr>
          <w:rFonts w:ascii="Times New Roman" w:hAnsi="Times New Roman" w:cs="Times New Roman"/>
          <w:sz w:val="24"/>
          <w:szCs w:val="24"/>
        </w:rPr>
      </w:pPr>
    </w:p>
    <w:p>
      <w:pPr>
        <w:pStyle w:val="44"/>
        <w:jc w:val="center"/>
        <w:rPr>
          <w:rFonts w:ascii="Times New Roman" w:hAnsi="Times New Roman" w:cs="Times New Roman"/>
          <w:b/>
          <w:sz w:val="24"/>
          <w:szCs w:val="24"/>
        </w:rPr>
      </w:pPr>
      <w:r>
        <w:rPr>
          <w:rFonts w:ascii="Times New Roman" w:hAnsi="Times New Roman" w:cs="Times New Roman"/>
          <w:b/>
          <w:bCs/>
          <w:sz w:val="24"/>
          <w:szCs w:val="24"/>
        </w:rPr>
        <w:t xml:space="preserve">6. </w:t>
      </w:r>
      <w:r>
        <w:rPr>
          <w:rFonts w:ascii="Times New Roman" w:hAnsi="Times New Roman" w:cs="Times New Roman"/>
          <w:b/>
          <w:sz w:val="24"/>
          <w:szCs w:val="24"/>
        </w:rPr>
        <w:t>Налоговый регистр (карточка)</w:t>
      </w: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 учету доходов, вычетов и налога на доходы физических лиц</w:t>
      </w: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за ____ г. </w:t>
      </w:r>
      <w:r>
        <w:rPr>
          <w:rFonts w:ascii="Times New Roman" w:hAnsi="Times New Roman"/>
          <w:b/>
          <w:sz w:val="24"/>
          <w:szCs w:val="24"/>
          <w:lang w:val="ru-RU"/>
        </w:rPr>
        <w:t>№</w:t>
      </w:r>
      <w:r>
        <w:rPr>
          <w:rFonts w:ascii="Times New Roman" w:hAnsi="Times New Roman"/>
          <w:b/>
          <w:sz w:val="24"/>
          <w:szCs w:val="24"/>
        </w:rPr>
        <w:t xml:space="preserve"> ____</w:t>
      </w:r>
    </w:p>
    <w:p>
      <w:pPr>
        <w:rPr>
          <w:rFonts w:ascii="Times New Roman" w:hAnsi="Times New Roman"/>
          <w:b/>
          <w:bCs/>
          <w:sz w:val="24"/>
          <w:szCs w:val="24"/>
        </w:rPr>
      </w:pPr>
    </w:p>
    <w:p>
      <w:pPr>
        <w:spacing w:after="0" w:line="240" w:lineRule="auto"/>
        <w:rPr>
          <w:rFonts w:ascii="Times New Roman" w:hAnsi="Times New Roman"/>
          <w:b/>
          <w:bCs/>
          <w:sz w:val="24"/>
          <w:szCs w:val="24"/>
        </w:rPr>
      </w:pPr>
      <w:r>
        <w:rPr>
          <w:rFonts w:ascii="Times New Roman" w:hAnsi="Times New Roman"/>
          <w:b/>
          <w:bCs/>
          <w:sz w:val="24"/>
          <w:szCs w:val="24"/>
        </w:rPr>
        <w:t>Раздел 1. Сведения о налоговом агенте</w:t>
      </w:r>
    </w:p>
    <w:p>
      <w:pPr>
        <w:pStyle w:val="3"/>
        <w:spacing w:after="0" w:line="240" w:lineRule="auto"/>
        <w:rPr>
          <w:rFonts w:ascii="Times New Roman" w:hAnsi="Times New Roman"/>
          <w:b/>
          <w:sz w:val="20"/>
          <w:szCs w:val="20"/>
        </w:rPr>
      </w:pPr>
    </w:p>
    <w:tbl>
      <w:tblPr>
        <w:tblStyle w:val="30"/>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
                <w:sz w:val="24"/>
                <w:szCs w:val="24"/>
              </w:rPr>
            </w:pPr>
            <w:r>
              <w:rPr>
                <w:rFonts w:ascii="Times New Roman" w:hAnsi="Times New Roman"/>
                <w:w w:val="105"/>
                <w:sz w:val="24"/>
                <w:szCs w:val="24"/>
              </w:rPr>
              <w:t>1.1. ИНН/КПП организации</w:t>
            </w:r>
          </w:p>
        </w:tc>
        <w:tc>
          <w:tcPr>
            <w:tcW w:w="3402" w:type="dxa"/>
            <w:tcBorders>
              <w:bottom w:val="single" w:color="auto" w:sz="4" w:space="0"/>
            </w:tcBorders>
          </w:tcPr>
          <w:p>
            <w:pPr>
              <w:pStyle w:val="3"/>
              <w:spacing w:after="0" w:line="240" w:lineRule="auto"/>
              <w:rPr>
                <w:rFonts w:ascii="Times New Roman" w:hAnsi="Times New Roman"/>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
                <w:sz w:val="24"/>
                <w:szCs w:val="24"/>
              </w:rPr>
            </w:pPr>
            <w:r>
              <w:rPr>
                <w:rFonts w:ascii="Times New Roman" w:hAnsi="Times New Roman"/>
                <w:w w:val="105"/>
                <w:sz w:val="24"/>
                <w:szCs w:val="24"/>
              </w:rPr>
              <w:t>1.2. Наименование организации</w:t>
            </w:r>
          </w:p>
        </w:tc>
        <w:tc>
          <w:tcPr>
            <w:tcW w:w="3402" w:type="dxa"/>
            <w:tcBorders>
              <w:top w:val="single" w:color="auto" w:sz="4" w:space="0"/>
              <w:bottom w:val="single" w:color="auto" w:sz="4" w:space="0"/>
            </w:tcBorders>
          </w:tcPr>
          <w:p>
            <w:pPr>
              <w:pStyle w:val="3"/>
              <w:spacing w:after="0" w:line="240" w:lineRule="auto"/>
              <w:rPr>
                <w:rFonts w:ascii="Times New Roman" w:hAnsi="Times New Roman"/>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
                <w:sz w:val="24"/>
                <w:szCs w:val="24"/>
              </w:rPr>
            </w:pPr>
            <w:r>
              <w:rPr>
                <w:rFonts w:ascii="Times New Roman" w:hAnsi="Times New Roman"/>
                <w:w w:val="105"/>
                <w:sz w:val="24"/>
                <w:szCs w:val="24"/>
              </w:rPr>
              <w:t>1.3. Код налогового органа, где налоговый агент состоит на учете</w:t>
            </w:r>
          </w:p>
        </w:tc>
        <w:tc>
          <w:tcPr>
            <w:tcW w:w="3402" w:type="dxa"/>
            <w:tcBorders>
              <w:top w:val="single" w:color="auto" w:sz="4" w:space="0"/>
              <w:bottom w:val="single" w:color="auto" w:sz="4" w:space="0"/>
            </w:tcBorders>
          </w:tcPr>
          <w:p>
            <w:pPr>
              <w:pStyle w:val="3"/>
              <w:spacing w:after="0" w:line="240" w:lineRule="auto"/>
              <w:rPr>
                <w:rFonts w:ascii="Times New Roman" w:hAnsi="Times New Roman"/>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
                <w:sz w:val="24"/>
                <w:szCs w:val="24"/>
              </w:rPr>
            </w:pPr>
            <w:r>
              <w:rPr>
                <w:rFonts w:ascii="Times New Roman" w:hAnsi="Times New Roman"/>
                <w:w w:val="105"/>
                <w:sz w:val="24"/>
                <w:szCs w:val="24"/>
              </w:rPr>
              <w:t>1.4. Код ОКТМО</w:t>
            </w:r>
          </w:p>
        </w:tc>
        <w:tc>
          <w:tcPr>
            <w:tcW w:w="3402" w:type="dxa"/>
            <w:tcBorders>
              <w:top w:val="single" w:color="auto" w:sz="4" w:space="0"/>
              <w:bottom w:val="single" w:color="auto" w:sz="4" w:space="0"/>
            </w:tcBorders>
          </w:tcPr>
          <w:p>
            <w:pPr>
              <w:pStyle w:val="3"/>
              <w:spacing w:after="0" w:line="240" w:lineRule="auto"/>
              <w:rPr>
                <w:rFonts w:ascii="Times New Roman" w:hAnsi="Times New Roman"/>
                <w:b/>
                <w:sz w:val="20"/>
                <w:szCs w:val="20"/>
              </w:rPr>
            </w:pPr>
          </w:p>
        </w:tc>
      </w:tr>
    </w:tbl>
    <w:p>
      <w:pPr>
        <w:pStyle w:val="3"/>
        <w:spacing w:after="0" w:line="240" w:lineRule="auto"/>
        <w:rPr>
          <w:rFonts w:ascii="Times New Roman" w:hAnsi="Times New Roman"/>
          <w:sz w:val="2"/>
        </w:rPr>
      </w:pPr>
    </w:p>
    <w:p>
      <w:pPr>
        <w:pStyle w:val="3"/>
        <w:spacing w:after="0" w:line="240" w:lineRule="auto"/>
        <w:rPr>
          <w:rFonts w:ascii="Times New Roman" w:hAnsi="Times New Roman"/>
          <w:b/>
          <w:sz w:val="20"/>
          <w:szCs w:val="20"/>
        </w:rPr>
      </w:pPr>
    </w:p>
    <w:p>
      <w:pPr>
        <w:spacing w:after="0" w:line="240" w:lineRule="auto"/>
        <w:rPr>
          <w:rFonts w:ascii="Times New Roman" w:hAnsi="Times New Roman"/>
          <w:b/>
          <w:sz w:val="16"/>
        </w:rPr>
      </w:pPr>
      <w:r>
        <w:rPr>
          <w:rFonts w:ascii="Times New Roman" w:hAnsi="Times New Roman"/>
          <w:b/>
        </w:rPr>
        <w:t>Раздел 2. Сведения о налогоплательщике (получателе доходов)</w:t>
      </w:r>
    </w:p>
    <w:p>
      <w:pPr>
        <w:pStyle w:val="3"/>
        <w:spacing w:after="0" w:line="240" w:lineRule="auto"/>
        <w:rPr>
          <w:rFonts w:ascii="Times New Roman" w:hAnsi="Times New Roman"/>
          <w:bCs/>
          <w:sz w:val="20"/>
          <w:szCs w:val="20"/>
        </w:rPr>
      </w:pPr>
    </w:p>
    <w:tbl>
      <w:tblPr>
        <w:tblStyle w:val="30"/>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2.1. ИНН</w:t>
            </w:r>
          </w:p>
        </w:tc>
        <w:tc>
          <w:tcPr>
            <w:tcW w:w="3402" w:type="dxa"/>
            <w:tcBorders>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2.2. Фамилия, имя, отчество</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2.3. Дата рождения (число, месяц, год)</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2.4. Гражданство (код страны)</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2.5. Код вида документа, удостоверяющего личность</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2.6. Документ: серия</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37" w:type="dxa"/>
          </w:tcPr>
          <w:p>
            <w:pPr>
              <w:pStyle w:val="3"/>
              <w:spacing w:after="0" w:line="240" w:lineRule="auto"/>
              <w:rPr>
                <w:rFonts w:ascii="Times New Roman" w:hAnsi="Times New Roman"/>
                <w:bCs/>
                <w:sz w:val="24"/>
                <w:szCs w:val="24"/>
              </w:rPr>
            </w:pPr>
            <w:r>
              <w:rPr>
                <w:rFonts w:ascii="Times New Roman" w:hAnsi="Times New Roman"/>
                <w:w w:val="105"/>
                <w:sz w:val="24"/>
                <w:szCs w:val="24"/>
              </w:rPr>
              <w:t>2.7. Статус налогоплательщика</w:t>
            </w:r>
          </w:p>
        </w:tc>
        <w:tc>
          <w:tcPr>
            <w:tcW w:w="3402" w:type="dxa"/>
            <w:tcBorders>
              <w:top w:val="single" w:color="auto" w:sz="4" w:space="0"/>
              <w:bottom w:val="single" w:color="auto" w:sz="4" w:space="0"/>
            </w:tcBorders>
          </w:tcPr>
          <w:p>
            <w:pPr>
              <w:pStyle w:val="3"/>
              <w:spacing w:after="0" w:line="240" w:lineRule="auto"/>
              <w:rPr>
                <w:rFonts w:ascii="Times New Roman" w:hAnsi="Times New Roman"/>
                <w:bCs/>
                <w:sz w:val="20"/>
                <w:szCs w:val="20"/>
              </w:rPr>
            </w:pPr>
          </w:p>
        </w:tc>
      </w:tr>
    </w:tbl>
    <w:p>
      <w:pPr>
        <w:pStyle w:val="3"/>
        <w:spacing w:after="0" w:line="240" w:lineRule="auto"/>
        <w:jc w:val="both"/>
        <w:rPr>
          <w:rFonts w:ascii="Times New Roman" w:hAnsi="Times New Roman"/>
          <w:b/>
          <w:sz w:val="18"/>
          <w:szCs w:val="18"/>
        </w:rPr>
      </w:pPr>
      <w:r>
        <w:rPr>
          <w:rFonts w:ascii="Times New Roman" w:hAnsi="Times New Roman"/>
          <w:w w:val="105"/>
          <w:sz w:val="18"/>
          <w:szCs w:val="18"/>
        </w:rPr>
        <w:t xml:space="preserve">(1 - налоговый резидент РФ, который не ведет в РФ трудовую деятельность по найму на основании патента; 2 - нерезидент РФ; 3 - высококвалифицированный специалист - налоговый нерезидент РФ; 4 - участник Государственной программы по оказанию содействия добровольному переселению в РФ (член экипажа судна, плавающего под Государственным флагом РФ) - налоговый нерезидент РФ; 5 - иностранный гражданин (лицо без гражданства) - нерезидент РФ, признанный беженцем или получивший временное убежище на территории РФ; 6 - иностранный гражданин, осуществляющий трудовую деятельность по найму в РФ на основании патента; </w:t>
      </w:r>
      <w:r>
        <w:rPr>
          <w:rFonts w:ascii="Times New Roman" w:hAnsi="Times New Roman"/>
          <w:sz w:val="18"/>
          <w:szCs w:val="18"/>
        </w:rPr>
        <w:t>7</w:t>
      </w:r>
      <w:r>
        <w:rPr>
          <w:rFonts w:ascii="Times New Roman" w:hAnsi="Times New Roman"/>
          <w:spacing w:val="-4"/>
          <w:sz w:val="18"/>
          <w:szCs w:val="18"/>
        </w:rPr>
        <w:t xml:space="preserve"> </w:t>
      </w:r>
      <w:r>
        <w:rPr>
          <w:rFonts w:ascii="Times New Roman" w:hAnsi="Times New Roman"/>
          <w:sz w:val="18"/>
          <w:szCs w:val="18"/>
        </w:rPr>
        <w:t>-</w:t>
      </w:r>
      <w:r>
        <w:rPr>
          <w:rFonts w:ascii="Times New Roman" w:hAnsi="Times New Roman"/>
          <w:spacing w:val="-5"/>
          <w:sz w:val="18"/>
          <w:szCs w:val="18"/>
        </w:rPr>
        <w:t xml:space="preserve"> </w:t>
      </w:r>
      <w:r>
        <w:rPr>
          <w:rFonts w:ascii="Times New Roman" w:hAnsi="Times New Roman"/>
          <w:sz w:val="18"/>
          <w:szCs w:val="18"/>
        </w:rPr>
        <w:t>высококвалифицированный</w:t>
      </w:r>
      <w:r>
        <w:rPr>
          <w:rFonts w:ascii="Times New Roman" w:hAnsi="Times New Roman"/>
          <w:spacing w:val="-5"/>
          <w:sz w:val="18"/>
          <w:szCs w:val="18"/>
        </w:rPr>
        <w:t xml:space="preserve"> </w:t>
      </w:r>
      <w:r>
        <w:rPr>
          <w:rFonts w:ascii="Times New Roman" w:hAnsi="Times New Roman"/>
          <w:sz w:val="18"/>
          <w:szCs w:val="18"/>
        </w:rPr>
        <w:t>специалист</w:t>
      </w:r>
      <w:r>
        <w:rPr>
          <w:rFonts w:ascii="Times New Roman" w:hAnsi="Times New Roman"/>
          <w:spacing w:val="-4"/>
          <w:sz w:val="18"/>
          <w:szCs w:val="18"/>
        </w:rPr>
        <w:t xml:space="preserve"> </w:t>
      </w:r>
      <w:r>
        <w:rPr>
          <w:rFonts w:ascii="Times New Roman" w:hAnsi="Times New Roman"/>
          <w:sz w:val="18"/>
          <w:szCs w:val="18"/>
        </w:rPr>
        <w:t>-</w:t>
      </w:r>
      <w:r>
        <w:rPr>
          <w:rFonts w:ascii="Times New Roman" w:hAnsi="Times New Roman"/>
          <w:spacing w:val="-5"/>
          <w:sz w:val="18"/>
          <w:szCs w:val="18"/>
        </w:rPr>
        <w:t xml:space="preserve"> </w:t>
      </w:r>
      <w:r>
        <w:rPr>
          <w:rFonts w:ascii="Times New Roman" w:hAnsi="Times New Roman"/>
          <w:sz w:val="18"/>
          <w:szCs w:val="18"/>
        </w:rPr>
        <w:t>налоговый</w:t>
      </w:r>
      <w:r>
        <w:rPr>
          <w:rFonts w:ascii="Times New Roman" w:hAnsi="Times New Roman"/>
          <w:spacing w:val="-5"/>
          <w:sz w:val="18"/>
          <w:szCs w:val="18"/>
        </w:rPr>
        <w:t xml:space="preserve"> </w:t>
      </w:r>
      <w:r>
        <w:rPr>
          <w:rFonts w:ascii="Times New Roman" w:hAnsi="Times New Roman"/>
          <w:sz w:val="18"/>
          <w:szCs w:val="18"/>
        </w:rPr>
        <w:t>резидент</w:t>
      </w:r>
      <w:r>
        <w:rPr>
          <w:rFonts w:ascii="Times New Roman" w:hAnsi="Times New Roman"/>
          <w:spacing w:val="-5"/>
          <w:sz w:val="18"/>
          <w:szCs w:val="18"/>
        </w:rPr>
        <w:t xml:space="preserve"> </w:t>
      </w:r>
      <w:r>
        <w:rPr>
          <w:rFonts w:ascii="Times New Roman" w:hAnsi="Times New Roman"/>
          <w:sz w:val="18"/>
          <w:szCs w:val="18"/>
        </w:rPr>
        <w:t>РФ;</w:t>
      </w:r>
      <w:r>
        <w:rPr>
          <w:rFonts w:ascii="Times New Roman" w:hAnsi="Times New Roman"/>
          <w:spacing w:val="-4"/>
          <w:sz w:val="18"/>
          <w:szCs w:val="18"/>
        </w:rPr>
        <w:t xml:space="preserve"> </w:t>
      </w:r>
      <w:r>
        <w:rPr>
          <w:rFonts w:ascii="Times New Roman" w:hAnsi="Times New Roman"/>
          <w:sz w:val="18"/>
          <w:szCs w:val="18"/>
        </w:rPr>
        <w:t>8</w:t>
      </w:r>
      <w:r>
        <w:rPr>
          <w:rFonts w:ascii="Times New Roman" w:hAnsi="Times New Roman"/>
          <w:spacing w:val="-4"/>
          <w:sz w:val="18"/>
          <w:szCs w:val="18"/>
        </w:rPr>
        <w:t xml:space="preserve"> </w:t>
      </w:r>
      <w:r>
        <w:rPr>
          <w:rFonts w:ascii="Times New Roman" w:hAnsi="Times New Roman"/>
          <w:sz w:val="18"/>
          <w:szCs w:val="18"/>
        </w:rPr>
        <w:t>-</w:t>
      </w:r>
      <w:r>
        <w:rPr>
          <w:rFonts w:ascii="Times New Roman" w:hAnsi="Times New Roman"/>
          <w:spacing w:val="-5"/>
          <w:sz w:val="18"/>
          <w:szCs w:val="18"/>
        </w:rPr>
        <w:t xml:space="preserve"> </w:t>
      </w:r>
      <w:r>
        <w:rPr>
          <w:rFonts w:ascii="Times New Roman" w:hAnsi="Times New Roman"/>
          <w:sz w:val="18"/>
          <w:szCs w:val="18"/>
        </w:rPr>
        <w:t>налоговый</w:t>
      </w:r>
      <w:r>
        <w:rPr>
          <w:rFonts w:ascii="Times New Roman" w:hAnsi="Times New Roman"/>
          <w:spacing w:val="-5"/>
          <w:sz w:val="18"/>
          <w:szCs w:val="18"/>
        </w:rPr>
        <w:t xml:space="preserve"> </w:t>
      </w:r>
      <w:r>
        <w:rPr>
          <w:rFonts w:ascii="Times New Roman" w:hAnsi="Times New Roman"/>
          <w:sz w:val="18"/>
          <w:szCs w:val="18"/>
        </w:rPr>
        <w:t>нерезидент</w:t>
      </w:r>
      <w:r>
        <w:rPr>
          <w:rFonts w:ascii="Times New Roman" w:hAnsi="Times New Roman"/>
          <w:spacing w:val="-5"/>
          <w:sz w:val="18"/>
          <w:szCs w:val="18"/>
        </w:rPr>
        <w:t xml:space="preserve"> </w:t>
      </w:r>
      <w:r>
        <w:rPr>
          <w:rFonts w:ascii="Times New Roman" w:hAnsi="Times New Roman"/>
          <w:sz w:val="18"/>
          <w:szCs w:val="18"/>
        </w:rPr>
        <w:t>РФ,</w:t>
      </w:r>
      <w:r>
        <w:rPr>
          <w:rFonts w:ascii="Times New Roman" w:hAnsi="Times New Roman"/>
          <w:spacing w:val="-6"/>
          <w:sz w:val="18"/>
          <w:szCs w:val="18"/>
        </w:rPr>
        <w:t xml:space="preserve"> </w:t>
      </w:r>
      <w:r>
        <w:rPr>
          <w:rFonts w:ascii="Times New Roman" w:hAnsi="Times New Roman"/>
          <w:sz w:val="18"/>
          <w:szCs w:val="18"/>
        </w:rPr>
        <w:t>получающий</w:t>
      </w:r>
      <w:r>
        <w:rPr>
          <w:rFonts w:ascii="Times New Roman" w:hAnsi="Times New Roman"/>
          <w:spacing w:val="-5"/>
          <w:sz w:val="18"/>
          <w:szCs w:val="18"/>
        </w:rPr>
        <w:t xml:space="preserve"> </w:t>
      </w:r>
      <w:r>
        <w:rPr>
          <w:rFonts w:ascii="Times New Roman" w:hAnsi="Times New Roman"/>
          <w:sz w:val="18"/>
          <w:szCs w:val="18"/>
        </w:rPr>
        <w:t>доходы,</w:t>
      </w:r>
      <w:r>
        <w:rPr>
          <w:rFonts w:ascii="Times New Roman" w:hAnsi="Times New Roman"/>
          <w:spacing w:val="-6"/>
          <w:sz w:val="18"/>
          <w:szCs w:val="18"/>
        </w:rPr>
        <w:t xml:space="preserve"> </w:t>
      </w:r>
      <w:r>
        <w:rPr>
          <w:rFonts w:ascii="Times New Roman" w:hAnsi="Times New Roman"/>
          <w:sz w:val="18"/>
          <w:szCs w:val="18"/>
        </w:rPr>
        <w:t>указанные</w:t>
      </w:r>
      <w:r>
        <w:rPr>
          <w:rFonts w:ascii="Times New Roman" w:hAnsi="Times New Roman"/>
          <w:spacing w:val="-7"/>
          <w:sz w:val="18"/>
          <w:szCs w:val="18"/>
        </w:rPr>
        <w:t xml:space="preserve"> </w:t>
      </w:r>
      <w:r>
        <w:rPr>
          <w:rFonts w:ascii="Times New Roman" w:hAnsi="Times New Roman"/>
          <w:sz w:val="18"/>
          <w:szCs w:val="18"/>
        </w:rPr>
        <w:t>в</w:t>
      </w:r>
      <w:r>
        <w:rPr>
          <w:rFonts w:ascii="Times New Roman" w:hAnsi="Times New Roman"/>
          <w:spacing w:val="-6"/>
          <w:sz w:val="18"/>
          <w:szCs w:val="18"/>
        </w:rPr>
        <w:t xml:space="preserve"> </w:t>
      </w:r>
      <w:r>
        <w:rPr>
          <w:rFonts w:ascii="Times New Roman" w:hAnsi="Times New Roman"/>
          <w:sz w:val="18"/>
          <w:szCs w:val="18"/>
        </w:rPr>
        <w:t>пп.</w:t>
      </w:r>
      <w:r>
        <w:rPr>
          <w:rFonts w:ascii="Times New Roman" w:hAnsi="Times New Roman"/>
          <w:spacing w:val="-6"/>
          <w:sz w:val="18"/>
          <w:szCs w:val="18"/>
        </w:rPr>
        <w:t xml:space="preserve"> </w:t>
      </w:r>
      <w:r>
        <w:rPr>
          <w:rFonts w:ascii="Times New Roman" w:hAnsi="Times New Roman"/>
          <w:sz w:val="18"/>
          <w:szCs w:val="18"/>
        </w:rPr>
        <w:t>6.2</w:t>
      </w:r>
      <w:r>
        <w:rPr>
          <w:rFonts w:ascii="Times New Roman" w:hAnsi="Times New Roman"/>
          <w:spacing w:val="-4"/>
          <w:sz w:val="18"/>
          <w:szCs w:val="18"/>
        </w:rPr>
        <w:t xml:space="preserve"> </w:t>
      </w:r>
      <w:r>
        <w:rPr>
          <w:rFonts w:ascii="Times New Roman" w:hAnsi="Times New Roman"/>
          <w:sz w:val="18"/>
          <w:szCs w:val="18"/>
        </w:rPr>
        <w:t>и</w:t>
      </w:r>
      <w:r>
        <w:rPr>
          <w:rFonts w:ascii="Times New Roman" w:hAnsi="Times New Roman"/>
          <w:spacing w:val="-5"/>
          <w:sz w:val="18"/>
          <w:szCs w:val="18"/>
        </w:rPr>
        <w:t xml:space="preserve"> </w:t>
      </w:r>
      <w:r>
        <w:rPr>
          <w:rFonts w:ascii="Times New Roman" w:hAnsi="Times New Roman"/>
          <w:sz w:val="18"/>
          <w:szCs w:val="18"/>
        </w:rPr>
        <w:t>6.3</w:t>
      </w:r>
      <w:r>
        <w:rPr>
          <w:rFonts w:ascii="Times New Roman" w:hAnsi="Times New Roman"/>
          <w:spacing w:val="-4"/>
          <w:sz w:val="18"/>
          <w:szCs w:val="18"/>
        </w:rPr>
        <w:t xml:space="preserve"> </w:t>
      </w:r>
      <w:r>
        <w:rPr>
          <w:rFonts w:ascii="Times New Roman" w:hAnsi="Times New Roman"/>
          <w:sz w:val="18"/>
          <w:szCs w:val="18"/>
        </w:rPr>
        <w:t>п.</w:t>
      </w:r>
      <w:r>
        <w:rPr>
          <w:rFonts w:ascii="Times New Roman" w:hAnsi="Times New Roman"/>
          <w:spacing w:val="-6"/>
          <w:sz w:val="18"/>
          <w:szCs w:val="18"/>
        </w:rPr>
        <w:t xml:space="preserve"> </w:t>
      </w:r>
      <w:r>
        <w:rPr>
          <w:rFonts w:ascii="Times New Roman" w:hAnsi="Times New Roman"/>
          <w:sz w:val="18"/>
          <w:szCs w:val="18"/>
        </w:rPr>
        <w:t>1</w:t>
      </w:r>
      <w:r>
        <w:rPr>
          <w:rFonts w:ascii="Times New Roman" w:hAnsi="Times New Roman"/>
          <w:spacing w:val="-4"/>
          <w:sz w:val="18"/>
          <w:szCs w:val="18"/>
        </w:rPr>
        <w:t xml:space="preserve"> </w:t>
      </w:r>
      <w:r>
        <w:rPr>
          <w:rFonts w:ascii="Times New Roman" w:hAnsi="Times New Roman"/>
          <w:sz w:val="18"/>
          <w:szCs w:val="18"/>
        </w:rPr>
        <w:t>ст.</w:t>
      </w:r>
      <w:r>
        <w:rPr>
          <w:rFonts w:ascii="Times New Roman" w:hAnsi="Times New Roman"/>
          <w:spacing w:val="-6"/>
          <w:sz w:val="18"/>
          <w:szCs w:val="18"/>
        </w:rPr>
        <w:t xml:space="preserve"> </w:t>
      </w:r>
      <w:r>
        <w:rPr>
          <w:rFonts w:ascii="Times New Roman" w:hAnsi="Times New Roman"/>
          <w:sz w:val="18"/>
          <w:szCs w:val="18"/>
        </w:rPr>
        <w:t>208</w:t>
      </w:r>
      <w:r>
        <w:rPr>
          <w:rFonts w:ascii="Times New Roman" w:hAnsi="Times New Roman"/>
          <w:spacing w:val="-4"/>
          <w:sz w:val="18"/>
          <w:szCs w:val="18"/>
        </w:rPr>
        <w:t xml:space="preserve"> </w:t>
      </w:r>
      <w:r>
        <w:rPr>
          <w:rFonts w:ascii="Times New Roman" w:hAnsi="Times New Roman"/>
          <w:sz w:val="18"/>
          <w:szCs w:val="18"/>
        </w:rPr>
        <w:t>НК</w:t>
      </w:r>
      <w:r>
        <w:rPr>
          <w:rFonts w:ascii="Times New Roman" w:hAnsi="Times New Roman"/>
          <w:spacing w:val="-5"/>
          <w:sz w:val="18"/>
          <w:szCs w:val="18"/>
        </w:rPr>
        <w:t xml:space="preserve"> </w:t>
      </w:r>
      <w:r>
        <w:rPr>
          <w:rFonts w:ascii="Times New Roman" w:hAnsi="Times New Roman"/>
          <w:sz w:val="18"/>
          <w:szCs w:val="18"/>
        </w:rPr>
        <w:t>РФ)</w:t>
      </w:r>
    </w:p>
    <w:p>
      <w:pPr>
        <w:pStyle w:val="3"/>
        <w:spacing w:after="0" w:line="240" w:lineRule="auto"/>
        <w:rPr>
          <w:rFonts w:ascii="Times New Roman" w:hAnsi="Times New Roman"/>
          <w:b/>
          <w:sz w:val="20"/>
          <w:szCs w:val="20"/>
        </w:rPr>
      </w:pPr>
    </w:p>
    <w:p>
      <w:pPr>
        <w:pStyle w:val="3"/>
        <w:spacing w:after="0" w:line="240" w:lineRule="auto"/>
        <w:rPr>
          <w:rFonts w:ascii="Times New Roman" w:hAnsi="Times New Roman"/>
          <w:sz w:val="24"/>
          <w:szCs w:val="28"/>
        </w:rPr>
      </w:pPr>
      <w:r>
        <w:rPr>
          <w:rFonts w:ascii="Times New Roman" w:hAnsi="Times New Roman"/>
          <w:w w:val="105"/>
          <w:sz w:val="24"/>
          <w:szCs w:val="28"/>
        </w:rPr>
        <w:t>2.8. В случае изменения статуса с налогового резидента РФ на нерезидента или с нерезидента на резидента в течение налогового периода заполняется таблица:</w:t>
      </w:r>
    </w:p>
    <w:p>
      <w:pPr>
        <w:pStyle w:val="3"/>
        <w:spacing w:after="0" w:line="240" w:lineRule="auto"/>
        <w:rPr>
          <w:rFonts w:ascii="Times New Roman" w:hAnsi="Times New Roman"/>
          <w:sz w:val="20"/>
          <w:szCs w:val="20"/>
        </w:rPr>
      </w:pPr>
    </w:p>
    <w:tbl>
      <w:tblPr>
        <w:tblStyle w:val="248"/>
        <w:tblW w:w="97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2497"/>
        <w:gridCol w:w="364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8" w:hRule="exact"/>
          <w:jc w:val="center"/>
        </w:trPr>
        <w:tc>
          <w:tcPr>
            <w:tcW w:w="1201" w:type="dxa"/>
          </w:tcPr>
          <w:p>
            <w:pPr>
              <w:pStyle w:val="249"/>
              <w:ind w:left="0"/>
              <w:jc w:val="center"/>
            </w:pPr>
            <w:r>
              <w:rPr>
                <w:w w:val="105"/>
              </w:rPr>
              <w:t>Месяц получения дохода</w:t>
            </w:r>
          </w:p>
        </w:tc>
        <w:tc>
          <w:tcPr>
            <w:tcW w:w="2497" w:type="dxa"/>
          </w:tcPr>
          <w:p>
            <w:pPr>
              <w:pStyle w:val="249"/>
              <w:ind w:left="0"/>
              <w:jc w:val="center"/>
              <w:rPr>
                <w:lang w:val="ru-RU"/>
              </w:rPr>
            </w:pPr>
            <w:r>
              <w:rPr>
                <w:w w:val="105"/>
                <w:lang w:val="ru-RU"/>
              </w:rPr>
              <w:t>Период из 12 месяцев для определения налогового статуса работника</w:t>
            </w:r>
          </w:p>
        </w:tc>
        <w:tc>
          <w:tcPr>
            <w:tcW w:w="3641" w:type="dxa"/>
          </w:tcPr>
          <w:p>
            <w:pPr>
              <w:pStyle w:val="249"/>
              <w:ind w:left="0"/>
              <w:jc w:val="center"/>
              <w:rPr>
                <w:lang w:val="ru-RU"/>
              </w:rPr>
            </w:pPr>
            <w:r>
              <w:rPr>
                <w:w w:val="105"/>
                <w:lang w:val="ru-RU"/>
              </w:rPr>
              <w:t>Периоды выезда за границу (кроме выездов для краткосрочного (менее шести месяцев) лечения или обучения)</w:t>
            </w:r>
          </w:p>
        </w:tc>
        <w:tc>
          <w:tcPr>
            <w:tcW w:w="2410" w:type="dxa"/>
          </w:tcPr>
          <w:p>
            <w:pPr>
              <w:pStyle w:val="249"/>
              <w:ind w:left="0"/>
              <w:jc w:val="center"/>
              <w:rPr>
                <w:lang w:val="ru-RU"/>
              </w:rPr>
            </w:pPr>
            <w:r>
              <w:rPr>
                <w:w w:val="105"/>
                <w:lang w:val="ru-RU"/>
              </w:rPr>
              <w:t>Общее количество дней нахождения в РФ за последние 12 месяцев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Январь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Февраль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Март</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Апрель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Май</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Июнь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Июль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Август</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Сентябрь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Октябрь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Ноябрь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jc w:val="center"/>
        </w:trPr>
        <w:tc>
          <w:tcPr>
            <w:tcW w:w="1201" w:type="dxa"/>
            <w:vAlign w:val="center"/>
          </w:tcPr>
          <w:p>
            <w:pPr>
              <w:pStyle w:val="249"/>
            </w:pPr>
            <w:r>
              <w:rPr>
                <w:w w:val="105"/>
              </w:rPr>
              <w:t>Декабрь</w:t>
            </w:r>
          </w:p>
        </w:tc>
        <w:tc>
          <w:tcPr>
            <w:tcW w:w="2497" w:type="dxa"/>
            <w:vAlign w:val="center"/>
          </w:tcPr>
          <w:p>
            <w:pPr>
              <w:widowControl w:val="0"/>
              <w:autoSpaceDE w:val="0"/>
              <w:autoSpaceDN w:val="0"/>
              <w:spacing w:after="0" w:line="240" w:lineRule="auto"/>
              <w:jc w:val="center"/>
              <w:rPr>
                <w:rFonts w:ascii="Times New Roman" w:hAnsi="Times New Roman"/>
                <w:lang w:val="en-US"/>
              </w:rPr>
            </w:pPr>
          </w:p>
        </w:tc>
        <w:tc>
          <w:tcPr>
            <w:tcW w:w="3641" w:type="dxa"/>
            <w:vAlign w:val="center"/>
          </w:tcPr>
          <w:p>
            <w:pPr>
              <w:widowControl w:val="0"/>
              <w:autoSpaceDE w:val="0"/>
              <w:autoSpaceDN w:val="0"/>
              <w:spacing w:after="0" w:line="240" w:lineRule="auto"/>
              <w:jc w:val="center"/>
              <w:rPr>
                <w:rFonts w:ascii="Times New Roman" w:hAnsi="Times New Roman"/>
                <w:lang w:val="en-US"/>
              </w:rPr>
            </w:pPr>
          </w:p>
        </w:tc>
        <w:tc>
          <w:tcPr>
            <w:tcW w:w="2410" w:type="dxa"/>
            <w:vAlign w:val="center"/>
          </w:tcPr>
          <w:p>
            <w:pPr>
              <w:widowControl w:val="0"/>
              <w:autoSpaceDE w:val="0"/>
              <w:autoSpaceDN w:val="0"/>
              <w:spacing w:after="0" w:line="240" w:lineRule="auto"/>
              <w:jc w:val="center"/>
              <w:rPr>
                <w:rFonts w:ascii="Times New Roman" w:hAnsi="Times New Roman"/>
                <w:lang w:val="en-US"/>
              </w:rPr>
            </w:pPr>
          </w:p>
        </w:tc>
      </w:tr>
    </w:tbl>
    <w:p>
      <w:pPr>
        <w:spacing w:after="0" w:line="240" w:lineRule="auto"/>
        <w:rPr>
          <w:rFonts w:ascii="Times New Roman" w:hAnsi="Times New Roman"/>
        </w:rPr>
      </w:pPr>
    </w:p>
    <w:p>
      <w:pPr>
        <w:spacing w:after="0" w:line="240" w:lineRule="auto"/>
        <w:ind w:left="142"/>
        <w:jc w:val="both"/>
        <w:rPr>
          <w:rFonts w:ascii="Times New Roman" w:hAnsi="Times New Roman"/>
          <w:b/>
          <w:sz w:val="24"/>
          <w:szCs w:val="24"/>
        </w:rPr>
      </w:pPr>
      <w:r>
        <w:rPr>
          <w:rFonts w:ascii="Times New Roman" w:hAnsi="Times New Roman"/>
          <w:b/>
          <w:sz w:val="24"/>
          <w:szCs w:val="24"/>
        </w:rPr>
        <w:t>Раздел</w:t>
      </w:r>
      <w:r>
        <w:rPr>
          <w:rFonts w:ascii="Times New Roman" w:hAnsi="Times New Roman"/>
          <w:b/>
          <w:spacing w:val="-5"/>
          <w:sz w:val="24"/>
          <w:szCs w:val="24"/>
        </w:rPr>
        <w:t xml:space="preserve"> </w:t>
      </w:r>
      <w:r>
        <w:rPr>
          <w:rFonts w:ascii="Times New Roman" w:hAnsi="Times New Roman"/>
          <w:b/>
          <w:sz w:val="24"/>
          <w:szCs w:val="24"/>
        </w:rPr>
        <w:t>3.</w:t>
      </w:r>
      <w:r>
        <w:rPr>
          <w:rFonts w:ascii="Times New Roman" w:hAnsi="Times New Roman"/>
          <w:b/>
          <w:spacing w:val="-4"/>
          <w:sz w:val="24"/>
          <w:szCs w:val="24"/>
        </w:rPr>
        <w:t xml:space="preserve"> </w:t>
      </w:r>
      <w:r>
        <w:rPr>
          <w:rFonts w:ascii="Times New Roman" w:hAnsi="Times New Roman"/>
          <w:b/>
          <w:sz w:val="24"/>
          <w:szCs w:val="24"/>
        </w:rPr>
        <w:t>Совокупность</w:t>
      </w:r>
      <w:r>
        <w:rPr>
          <w:rFonts w:ascii="Times New Roman" w:hAnsi="Times New Roman"/>
          <w:b/>
          <w:spacing w:val="-5"/>
          <w:sz w:val="24"/>
          <w:szCs w:val="24"/>
        </w:rPr>
        <w:t xml:space="preserve"> </w:t>
      </w:r>
      <w:r>
        <w:rPr>
          <w:rFonts w:ascii="Times New Roman" w:hAnsi="Times New Roman"/>
          <w:b/>
          <w:sz w:val="24"/>
          <w:szCs w:val="24"/>
        </w:rPr>
        <w:t>налоговых</w:t>
      </w:r>
      <w:r>
        <w:rPr>
          <w:rFonts w:ascii="Times New Roman" w:hAnsi="Times New Roman"/>
          <w:b/>
          <w:spacing w:val="-7"/>
          <w:sz w:val="24"/>
          <w:szCs w:val="24"/>
        </w:rPr>
        <w:t xml:space="preserve"> </w:t>
      </w:r>
      <w:r>
        <w:rPr>
          <w:rFonts w:ascii="Times New Roman" w:hAnsi="Times New Roman"/>
          <w:b/>
          <w:sz w:val="24"/>
          <w:szCs w:val="24"/>
        </w:rPr>
        <w:t>баз</w:t>
      </w:r>
      <w:r>
        <w:rPr>
          <w:rFonts w:ascii="Times New Roman" w:hAnsi="Times New Roman"/>
          <w:b/>
          <w:spacing w:val="-4"/>
          <w:sz w:val="24"/>
          <w:szCs w:val="24"/>
        </w:rPr>
        <w:t xml:space="preserve"> </w:t>
      </w:r>
      <w:r>
        <w:rPr>
          <w:rFonts w:ascii="Times New Roman" w:hAnsi="Times New Roman"/>
          <w:b/>
          <w:sz w:val="24"/>
          <w:szCs w:val="24"/>
        </w:rPr>
        <w:t>налогового</w:t>
      </w:r>
      <w:r>
        <w:rPr>
          <w:rFonts w:ascii="Times New Roman" w:hAnsi="Times New Roman"/>
          <w:b/>
          <w:spacing w:val="-5"/>
          <w:sz w:val="24"/>
          <w:szCs w:val="24"/>
        </w:rPr>
        <w:t xml:space="preserve"> </w:t>
      </w:r>
      <w:r>
        <w:rPr>
          <w:rFonts w:ascii="Times New Roman" w:hAnsi="Times New Roman"/>
          <w:b/>
          <w:sz w:val="24"/>
          <w:szCs w:val="24"/>
        </w:rPr>
        <w:t>резидента</w:t>
      </w:r>
      <w:r>
        <w:rPr>
          <w:rFonts w:ascii="Times New Roman" w:hAnsi="Times New Roman"/>
          <w:b/>
          <w:spacing w:val="-5"/>
          <w:sz w:val="24"/>
          <w:szCs w:val="24"/>
        </w:rPr>
        <w:t xml:space="preserve"> </w:t>
      </w:r>
      <w:r>
        <w:rPr>
          <w:rFonts w:ascii="Times New Roman" w:hAnsi="Times New Roman"/>
          <w:b/>
          <w:sz w:val="24"/>
          <w:szCs w:val="24"/>
        </w:rPr>
        <w:t>РФ,</w:t>
      </w:r>
      <w:r>
        <w:rPr>
          <w:rFonts w:ascii="Times New Roman" w:hAnsi="Times New Roman"/>
          <w:b/>
          <w:spacing w:val="-4"/>
          <w:sz w:val="24"/>
          <w:szCs w:val="24"/>
        </w:rPr>
        <w:t xml:space="preserve"> </w:t>
      </w:r>
      <w:r>
        <w:rPr>
          <w:rFonts w:ascii="Times New Roman" w:hAnsi="Times New Roman"/>
          <w:b/>
          <w:sz w:val="24"/>
          <w:szCs w:val="24"/>
        </w:rPr>
        <w:t>в</w:t>
      </w:r>
      <w:r>
        <w:rPr>
          <w:rFonts w:ascii="Times New Roman" w:hAnsi="Times New Roman"/>
          <w:b/>
          <w:spacing w:val="-4"/>
          <w:sz w:val="24"/>
          <w:szCs w:val="24"/>
        </w:rPr>
        <w:t xml:space="preserve"> </w:t>
      </w:r>
      <w:r>
        <w:rPr>
          <w:rFonts w:ascii="Times New Roman" w:hAnsi="Times New Roman"/>
          <w:b/>
          <w:sz w:val="24"/>
          <w:szCs w:val="24"/>
        </w:rPr>
        <w:t>отношении</w:t>
      </w:r>
      <w:r>
        <w:rPr>
          <w:rFonts w:ascii="Times New Roman" w:hAnsi="Times New Roman"/>
          <w:b/>
          <w:spacing w:val="-5"/>
          <w:sz w:val="24"/>
          <w:szCs w:val="24"/>
        </w:rPr>
        <w:t xml:space="preserve"> </w:t>
      </w:r>
      <w:r>
        <w:rPr>
          <w:rFonts w:ascii="Times New Roman" w:hAnsi="Times New Roman"/>
          <w:b/>
          <w:sz w:val="24"/>
          <w:szCs w:val="24"/>
        </w:rPr>
        <w:t>которой</w:t>
      </w:r>
      <w:r>
        <w:rPr>
          <w:rFonts w:ascii="Times New Roman" w:hAnsi="Times New Roman"/>
          <w:b/>
          <w:spacing w:val="-5"/>
          <w:sz w:val="24"/>
          <w:szCs w:val="24"/>
        </w:rPr>
        <w:t xml:space="preserve"> </w:t>
      </w:r>
      <w:r>
        <w:rPr>
          <w:rFonts w:ascii="Times New Roman" w:hAnsi="Times New Roman"/>
          <w:b/>
          <w:sz w:val="24"/>
          <w:szCs w:val="24"/>
        </w:rPr>
        <w:t>применяется</w:t>
      </w:r>
      <w:r>
        <w:rPr>
          <w:rFonts w:ascii="Times New Roman" w:hAnsi="Times New Roman"/>
          <w:b/>
          <w:spacing w:val="-4"/>
          <w:sz w:val="24"/>
          <w:szCs w:val="24"/>
        </w:rPr>
        <w:t xml:space="preserve"> </w:t>
      </w:r>
      <w:r>
        <w:rPr>
          <w:rFonts w:ascii="Times New Roman" w:hAnsi="Times New Roman"/>
          <w:b/>
          <w:sz w:val="24"/>
          <w:szCs w:val="24"/>
        </w:rPr>
        <w:t>ставка</w:t>
      </w:r>
      <w:r>
        <w:rPr>
          <w:rFonts w:ascii="Times New Roman" w:hAnsi="Times New Roman"/>
          <w:b/>
          <w:spacing w:val="-5"/>
          <w:sz w:val="24"/>
          <w:szCs w:val="24"/>
        </w:rPr>
        <w:t xml:space="preserve"> </w:t>
      </w:r>
      <w:r>
        <w:rPr>
          <w:rFonts w:ascii="Times New Roman" w:hAnsi="Times New Roman"/>
          <w:b/>
          <w:sz w:val="24"/>
          <w:szCs w:val="24"/>
        </w:rPr>
        <w:t>(прогрессивная</w:t>
      </w:r>
      <w:r>
        <w:rPr>
          <w:rFonts w:ascii="Times New Roman" w:hAnsi="Times New Roman"/>
          <w:b/>
          <w:spacing w:val="-4"/>
          <w:sz w:val="24"/>
          <w:szCs w:val="24"/>
        </w:rPr>
        <w:t xml:space="preserve"> </w:t>
      </w:r>
      <w:r>
        <w:rPr>
          <w:rFonts w:ascii="Times New Roman" w:hAnsi="Times New Roman"/>
          <w:b/>
          <w:sz w:val="24"/>
          <w:szCs w:val="24"/>
        </w:rPr>
        <w:t>шкала</w:t>
      </w:r>
      <w:r>
        <w:rPr>
          <w:rFonts w:ascii="Times New Roman" w:hAnsi="Times New Roman"/>
          <w:b/>
          <w:spacing w:val="-5"/>
          <w:sz w:val="24"/>
          <w:szCs w:val="24"/>
        </w:rPr>
        <w:t xml:space="preserve"> </w:t>
      </w:r>
      <w:r>
        <w:rPr>
          <w:rFonts w:ascii="Times New Roman" w:hAnsi="Times New Roman"/>
          <w:b/>
          <w:sz w:val="24"/>
          <w:szCs w:val="24"/>
        </w:rPr>
        <w:t>13%,</w:t>
      </w:r>
      <w:r>
        <w:rPr>
          <w:rFonts w:ascii="Times New Roman" w:hAnsi="Times New Roman"/>
          <w:b/>
          <w:spacing w:val="-4"/>
          <w:sz w:val="24"/>
          <w:szCs w:val="24"/>
        </w:rPr>
        <w:t xml:space="preserve"> </w:t>
      </w:r>
      <w:r>
        <w:rPr>
          <w:rFonts w:ascii="Times New Roman" w:hAnsi="Times New Roman"/>
          <w:b/>
          <w:sz w:val="24"/>
          <w:szCs w:val="24"/>
        </w:rPr>
        <w:t>15%,</w:t>
      </w:r>
      <w:r>
        <w:rPr>
          <w:rFonts w:ascii="Times New Roman" w:hAnsi="Times New Roman"/>
          <w:b/>
          <w:spacing w:val="-4"/>
          <w:sz w:val="24"/>
          <w:szCs w:val="24"/>
        </w:rPr>
        <w:t xml:space="preserve"> </w:t>
      </w:r>
      <w:r>
        <w:rPr>
          <w:rFonts w:ascii="Times New Roman" w:hAnsi="Times New Roman"/>
          <w:b/>
          <w:sz w:val="24"/>
          <w:szCs w:val="24"/>
        </w:rPr>
        <w:t>18%,</w:t>
      </w:r>
      <w:r>
        <w:rPr>
          <w:rFonts w:ascii="Times New Roman" w:hAnsi="Times New Roman"/>
          <w:b/>
          <w:spacing w:val="-4"/>
          <w:sz w:val="24"/>
          <w:szCs w:val="24"/>
        </w:rPr>
        <w:t xml:space="preserve"> </w:t>
      </w:r>
      <w:r>
        <w:rPr>
          <w:rFonts w:ascii="Times New Roman" w:hAnsi="Times New Roman"/>
          <w:b/>
          <w:sz w:val="24"/>
          <w:szCs w:val="24"/>
        </w:rPr>
        <w:t>20%,</w:t>
      </w:r>
      <w:r>
        <w:rPr>
          <w:rFonts w:ascii="Times New Roman" w:hAnsi="Times New Roman"/>
          <w:b/>
          <w:spacing w:val="-4"/>
          <w:sz w:val="24"/>
          <w:szCs w:val="24"/>
        </w:rPr>
        <w:t xml:space="preserve"> </w:t>
      </w:r>
      <w:r>
        <w:rPr>
          <w:rFonts w:ascii="Times New Roman" w:hAnsi="Times New Roman"/>
          <w:b/>
          <w:sz w:val="24"/>
          <w:szCs w:val="24"/>
        </w:rPr>
        <w:t>22%),</w:t>
      </w:r>
      <w:r>
        <w:rPr>
          <w:rFonts w:ascii="Times New Roman" w:hAnsi="Times New Roman"/>
          <w:b/>
          <w:spacing w:val="-4"/>
          <w:sz w:val="24"/>
          <w:szCs w:val="24"/>
        </w:rPr>
        <w:t xml:space="preserve"> </w:t>
      </w:r>
      <w:r>
        <w:rPr>
          <w:rFonts w:ascii="Times New Roman" w:hAnsi="Times New Roman"/>
          <w:b/>
          <w:sz w:val="24"/>
          <w:szCs w:val="24"/>
        </w:rPr>
        <w:t>установленная</w:t>
      </w:r>
      <w:r>
        <w:rPr>
          <w:rFonts w:ascii="Times New Roman" w:hAnsi="Times New Roman"/>
          <w:b/>
          <w:spacing w:val="-4"/>
          <w:sz w:val="24"/>
          <w:szCs w:val="24"/>
        </w:rPr>
        <w:t xml:space="preserve"> </w:t>
      </w:r>
      <w:r>
        <w:rPr>
          <w:rFonts w:ascii="Times New Roman" w:hAnsi="Times New Roman"/>
          <w:b/>
          <w:sz w:val="24"/>
          <w:szCs w:val="24"/>
        </w:rPr>
        <w:t>п.</w:t>
      </w:r>
      <w:r>
        <w:rPr>
          <w:rFonts w:ascii="Times New Roman" w:hAnsi="Times New Roman"/>
          <w:b/>
          <w:spacing w:val="-4"/>
          <w:sz w:val="24"/>
          <w:szCs w:val="24"/>
        </w:rPr>
        <w:t xml:space="preserve"> </w:t>
      </w:r>
      <w:r>
        <w:rPr>
          <w:rFonts w:ascii="Times New Roman" w:hAnsi="Times New Roman"/>
          <w:b/>
          <w:sz w:val="24"/>
          <w:szCs w:val="24"/>
        </w:rPr>
        <w:t>1</w:t>
      </w:r>
      <w:r>
        <w:rPr>
          <w:rFonts w:ascii="Times New Roman" w:hAnsi="Times New Roman"/>
          <w:b/>
          <w:spacing w:val="-5"/>
          <w:sz w:val="24"/>
          <w:szCs w:val="24"/>
        </w:rPr>
        <w:t xml:space="preserve"> </w:t>
      </w:r>
      <w:r>
        <w:rPr>
          <w:rFonts w:ascii="Times New Roman" w:hAnsi="Times New Roman"/>
          <w:b/>
          <w:sz w:val="24"/>
          <w:szCs w:val="24"/>
        </w:rPr>
        <w:t>ст.</w:t>
      </w:r>
      <w:r>
        <w:rPr>
          <w:rFonts w:ascii="Times New Roman" w:hAnsi="Times New Roman"/>
          <w:b/>
          <w:spacing w:val="-4"/>
          <w:sz w:val="24"/>
          <w:szCs w:val="24"/>
        </w:rPr>
        <w:t xml:space="preserve"> </w:t>
      </w:r>
      <w:r>
        <w:rPr>
          <w:rFonts w:ascii="Times New Roman" w:hAnsi="Times New Roman"/>
          <w:b/>
          <w:sz w:val="24"/>
          <w:szCs w:val="24"/>
        </w:rPr>
        <w:t>224</w:t>
      </w:r>
      <w:r>
        <w:rPr>
          <w:rFonts w:ascii="Times New Roman" w:hAnsi="Times New Roman"/>
          <w:b/>
          <w:spacing w:val="-5"/>
          <w:sz w:val="24"/>
          <w:szCs w:val="24"/>
        </w:rPr>
        <w:t xml:space="preserve"> </w:t>
      </w:r>
      <w:r>
        <w:rPr>
          <w:rFonts w:ascii="Times New Roman" w:hAnsi="Times New Roman"/>
          <w:b/>
          <w:sz w:val="24"/>
          <w:szCs w:val="24"/>
        </w:rPr>
        <w:t>НК</w:t>
      </w:r>
      <w:r>
        <w:rPr>
          <w:rFonts w:ascii="Times New Roman" w:hAnsi="Times New Roman"/>
          <w:b/>
          <w:spacing w:val="-4"/>
          <w:sz w:val="24"/>
          <w:szCs w:val="24"/>
        </w:rPr>
        <w:t xml:space="preserve"> </w:t>
      </w:r>
      <w:r>
        <w:rPr>
          <w:rFonts w:ascii="Times New Roman" w:hAnsi="Times New Roman"/>
          <w:b/>
          <w:sz w:val="24"/>
          <w:szCs w:val="24"/>
        </w:rPr>
        <w:t>РФ,</w:t>
      </w:r>
      <w:r>
        <w:rPr>
          <w:rFonts w:ascii="Times New Roman" w:hAnsi="Times New Roman"/>
          <w:b/>
          <w:spacing w:val="-4"/>
          <w:sz w:val="24"/>
          <w:szCs w:val="24"/>
        </w:rPr>
        <w:t xml:space="preserve"> </w:t>
      </w:r>
      <w:r>
        <w:rPr>
          <w:rFonts w:ascii="Times New Roman" w:hAnsi="Times New Roman"/>
          <w:b/>
          <w:sz w:val="24"/>
          <w:szCs w:val="24"/>
        </w:rPr>
        <w:t>и сумма</w:t>
      </w:r>
      <w:r>
        <w:rPr>
          <w:rFonts w:ascii="Times New Roman" w:hAnsi="Times New Roman"/>
          <w:b/>
          <w:spacing w:val="-9"/>
          <w:sz w:val="24"/>
          <w:szCs w:val="24"/>
        </w:rPr>
        <w:t xml:space="preserve"> </w:t>
      </w:r>
      <w:r>
        <w:rPr>
          <w:rFonts w:ascii="Times New Roman" w:hAnsi="Times New Roman"/>
          <w:b/>
          <w:sz w:val="24"/>
          <w:szCs w:val="24"/>
        </w:rPr>
        <w:t>налога</w:t>
      </w:r>
    </w:p>
    <w:p>
      <w:pPr>
        <w:spacing w:after="0" w:line="240" w:lineRule="auto"/>
        <w:rPr>
          <w:rFonts w:ascii="Times New Roman" w:hAnsi="Times New Roman"/>
          <w:b/>
          <w:sz w:val="24"/>
          <w:szCs w:val="24"/>
        </w:rPr>
        <w:sectPr>
          <w:headerReference r:id="rId4" w:type="default"/>
          <w:type w:val="continuous"/>
          <w:pgSz w:w="11910" w:h="16840"/>
          <w:pgMar w:top="567" w:right="567" w:bottom="567" w:left="567" w:header="397" w:footer="397" w:gutter="0"/>
          <w:cols w:space="720" w:num="1"/>
          <w:docGrid w:linePitch="299" w:charSpace="0"/>
        </w:sectPr>
      </w:pPr>
    </w:p>
    <w:p>
      <w:pPr>
        <w:spacing w:after="0" w:line="240" w:lineRule="auto"/>
        <w:ind w:left="144"/>
        <w:rPr>
          <w:rFonts w:ascii="Times New Roman" w:hAnsi="Times New Roman"/>
          <w:b/>
          <w:sz w:val="24"/>
          <w:szCs w:val="24"/>
        </w:rPr>
      </w:pPr>
      <w:r>
        <w:rPr>
          <w:rFonts w:ascii="Times New Roman" w:hAnsi="Times New Roman"/>
          <w:b/>
          <w:w w:val="105"/>
          <w:sz w:val="24"/>
          <w:szCs w:val="24"/>
        </w:rPr>
        <w:t>3.1. Расчет налоговой базы и суммы налога</w:t>
      </w:r>
    </w:p>
    <w:p>
      <w:pPr>
        <w:spacing w:after="0" w:line="240" w:lineRule="auto"/>
        <w:rPr>
          <w:rFonts w:ascii="Times New Roman" w:hAnsi="Times New Roman"/>
          <w:b/>
          <w:sz w:val="24"/>
          <w:szCs w:val="24"/>
        </w:rPr>
      </w:pPr>
    </w:p>
    <w:tbl>
      <w:tblPr>
        <w:tblStyle w:val="248"/>
        <w:tblW w:w="1533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624"/>
        <w:gridCol w:w="937"/>
        <w:gridCol w:w="1134"/>
        <w:gridCol w:w="905"/>
        <w:gridCol w:w="905"/>
        <w:gridCol w:w="905"/>
        <w:gridCol w:w="905"/>
        <w:gridCol w:w="905"/>
        <w:gridCol w:w="905"/>
        <w:gridCol w:w="905"/>
        <w:gridCol w:w="905"/>
        <w:gridCol w:w="905"/>
        <w:gridCol w:w="905"/>
        <w:gridCol w:w="905"/>
        <w:gridCol w:w="90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5" w:hRule="exact"/>
        </w:trPr>
        <w:tc>
          <w:tcPr>
            <w:tcW w:w="3569" w:type="dxa"/>
            <w:gridSpan w:val="4"/>
          </w:tcPr>
          <w:p>
            <w:pPr>
              <w:pStyle w:val="249"/>
              <w:ind w:left="0"/>
              <w:jc w:val="center"/>
              <w:rPr>
                <w:sz w:val="20"/>
                <w:szCs w:val="20"/>
              </w:rPr>
            </w:pPr>
            <w:r>
              <w:rPr>
                <w:sz w:val="20"/>
                <w:szCs w:val="20"/>
              </w:rPr>
              <w:t>Показатель</w:t>
            </w:r>
          </w:p>
        </w:tc>
        <w:tc>
          <w:tcPr>
            <w:tcW w:w="905" w:type="dxa"/>
            <w:vAlign w:val="center"/>
          </w:tcPr>
          <w:p>
            <w:pPr>
              <w:pStyle w:val="249"/>
              <w:ind w:left="0"/>
              <w:jc w:val="center"/>
              <w:rPr>
                <w:sz w:val="20"/>
                <w:szCs w:val="20"/>
              </w:rPr>
            </w:pPr>
            <w:r>
              <w:rPr>
                <w:sz w:val="20"/>
                <w:szCs w:val="20"/>
              </w:rPr>
              <w:t>Январь</w:t>
            </w:r>
          </w:p>
        </w:tc>
        <w:tc>
          <w:tcPr>
            <w:tcW w:w="905" w:type="dxa"/>
            <w:vAlign w:val="center"/>
          </w:tcPr>
          <w:p>
            <w:pPr>
              <w:pStyle w:val="249"/>
              <w:ind w:left="0"/>
              <w:jc w:val="center"/>
              <w:rPr>
                <w:sz w:val="20"/>
                <w:szCs w:val="20"/>
              </w:rPr>
            </w:pPr>
            <w:r>
              <w:rPr>
                <w:sz w:val="20"/>
                <w:szCs w:val="20"/>
              </w:rPr>
              <w:t>Февраль</w:t>
            </w:r>
          </w:p>
        </w:tc>
        <w:tc>
          <w:tcPr>
            <w:tcW w:w="905" w:type="dxa"/>
            <w:vAlign w:val="center"/>
          </w:tcPr>
          <w:p>
            <w:pPr>
              <w:pStyle w:val="249"/>
              <w:ind w:left="0"/>
              <w:jc w:val="center"/>
              <w:rPr>
                <w:sz w:val="20"/>
                <w:szCs w:val="20"/>
              </w:rPr>
            </w:pPr>
            <w:r>
              <w:rPr>
                <w:sz w:val="20"/>
                <w:szCs w:val="20"/>
              </w:rPr>
              <w:t>Март</w:t>
            </w:r>
          </w:p>
        </w:tc>
        <w:tc>
          <w:tcPr>
            <w:tcW w:w="905" w:type="dxa"/>
            <w:vAlign w:val="center"/>
          </w:tcPr>
          <w:p>
            <w:pPr>
              <w:pStyle w:val="249"/>
              <w:ind w:left="0"/>
              <w:jc w:val="center"/>
              <w:rPr>
                <w:sz w:val="20"/>
                <w:szCs w:val="20"/>
              </w:rPr>
            </w:pPr>
            <w:r>
              <w:rPr>
                <w:sz w:val="20"/>
                <w:szCs w:val="20"/>
              </w:rPr>
              <w:t>Апрель</w:t>
            </w:r>
          </w:p>
        </w:tc>
        <w:tc>
          <w:tcPr>
            <w:tcW w:w="905" w:type="dxa"/>
            <w:vAlign w:val="center"/>
          </w:tcPr>
          <w:p>
            <w:pPr>
              <w:pStyle w:val="249"/>
              <w:ind w:left="0"/>
              <w:jc w:val="center"/>
              <w:rPr>
                <w:sz w:val="20"/>
                <w:szCs w:val="20"/>
              </w:rPr>
            </w:pPr>
            <w:r>
              <w:rPr>
                <w:sz w:val="20"/>
                <w:szCs w:val="20"/>
              </w:rPr>
              <w:t>Май</w:t>
            </w:r>
          </w:p>
        </w:tc>
        <w:tc>
          <w:tcPr>
            <w:tcW w:w="905" w:type="dxa"/>
            <w:vAlign w:val="center"/>
          </w:tcPr>
          <w:p>
            <w:pPr>
              <w:pStyle w:val="249"/>
              <w:ind w:left="0"/>
              <w:jc w:val="center"/>
              <w:rPr>
                <w:sz w:val="20"/>
                <w:szCs w:val="20"/>
              </w:rPr>
            </w:pPr>
            <w:r>
              <w:rPr>
                <w:sz w:val="20"/>
                <w:szCs w:val="20"/>
              </w:rPr>
              <w:t>Июнь</w:t>
            </w:r>
          </w:p>
        </w:tc>
        <w:tc>
          <w:tcPr>
            <w:tcW w:w="905" w:type="dxa"/>
            <w:vAlign w:val="center"/>
          </w:tcPr>
          <w:p>
            <w:pPr>
              <w:pStyle w:val="249"/>
              <w:ind w:left="0"/>
              <w:jc w:val="center"/>
              <w:rPr>
                <w:sz w:val="20"/>
                <w:szCs w:val="20"/>
              </w:rPr>
            </w:pPr>
            <w:r>
              <w:rPr>
                <w:sz w:val="20"/>
                <w:szCs w:val="20"/>
              </w:rPr>
              <w:t>Июль</w:t>
            </w:r>
          </w:p>
        </w:tc>
        <w:tc>
          <w:tcPr>
            <w:tcW w:w="905" w:type="dxa"/>
            <w:vAlign w:val="center"/>
          </w:tcPr>
          <w:p>
            <w:pPr>
              <w:pStyle w:val="249"/>
              <w:ind w:left="0"/>
              <w:jc w:val="center"/>
              <w:rPr>
                <w:sz w:val="20"/>
                <w:szCs w:val="20"/>
              </w:rPr>
            </w:pPr>
            <w:r>
              <w:rPr>
                <w:sz w:val="20"/>
                <w:szCs w:val="20"/>
              </w:rPr>
              <w:t>Август</w:t>
            </w:r>
          </w:p>
        </w:tc>
        <w:tc>
          <w:tcPr>
            <w:tcW w:w="905" w:type="dxa"/>
            <w:vAlign w:val="center"/>
          </w:tcPr>
          <w:p>
            <w:pPr>
              <w:pStyle w:val="249"/>
              <w:ind w:left="0"/>
              <w:jc w:val="center"/>
              <w:rPr>
                <w:sz w:val="20"/>
                <w:szCs w:val="20"/>
              </w:rPr>
            </w:pPr>
            <w:r>
              <w:rPr>
                <w:sz w:val="20"/>
                <w:szCs w:val="20"/>
              </w:rPr>
              <w:t>Сентябрь</w:t>
            </w:r>
          </w:p>
        </w:tc>
        <w:tc>
          <w:tcPr>
            <w:tcW w:w="905" w:type="dxa"/>
            <w:vAlign w:val="center"/>
          </w:tcPr>
          <w:p>
            <w:pPr>
              <w:pStyle w:val="249"/>
              <w:ind w:left="0"/>
              <w:jc w:val="center"/>
              <w:rPr>
                <w:sz w:val="20"/>
                <w:szCs w:val="20"/>
              </w:rPr>
            </w:pPr>
            <w:r>
              <w:rPr>
                <w:sz w:val="20"/>
                <w:szCs w:val="20"/>
              </w:rPr>
              <w:t>Октябрь</w:t>
            </w:r>
          </w:p>
        </w:tc>
        <w:tc>
          <w:tcPr>
            <w:tcW w:w="905" w:type="dxa"/>
            <w:vAlign w:val="center"/>
          </w:tcPr>
          <w:p>
            <w:pPr>
              <w:pStyle w:val="249"/>
              <w:ind w:left="0"/>
              <w:jc w:val="center"/>
              <w:rPr>
                <w:sz w:val="20"/>
                <w:szCs w:val="20"/>
              </w:rPr>
            </w:pPr>
            <w:r>
              <w:rPr>
                <w:sz w:val="20"/>
                <w:szCs w:val="20"/>
              </w:rPr>
              <w:t>Ноябрь</w:t>
            </w:r>
          </w:p>
        </w:tc>
        <w:tc>
          <w:tcPr>
            <w:tcW w:w="905" w:type="dxa"/>
            <w:vAlign w:val="center"/>
          </w:tcPr>
          <w:p>
            <w:pPr>
              <w:pStyle w:val="249"/>
              <w:ind w:left="0"/>
              <w:jc w:val="center"/>
              <w:rPr>
                <w:sz w:val="20"/>
                <w:szCs w:val="20"/>
              </w:rPr>
            </w:pPr>
            <w:r>
              <w:rPr>
                <w:sz w:val="20"/>
                <w:szCs w:val="20"/>
              </w:rPr>
              <w:t>Декабрь</w:t>
            </w:r>
          </w:p>
        </w:tc>
        <w:tc>
          <w:tcPr>
            <w:tcW w:w="905" w:type="dxa"/>
            <w:vAlign w:val="center"/>
          </w:tcPr>
          <w:p>
            <w:pPr>
              <w:pStyle w:val="249"/>
              <w:ind w:left="0"/>
              <w:jc w:val="center"/>
              <w:rPr>
                <w:sz w:val="20"/>
                <w:szCs w:val="20"/>
              </w:rPr>
            </w:pPr>
            <w:r>
              <w:rPr>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874" w:type="dxa"/>
            <w:vMerge w:val="restart"/>
            <w:vAlign w:val="center"/>
          </w:tcPr>
          <w:p>
            <w:pPr>
              <w:pStyle w:val="249"/>
              <w:ind w:right="184"/>
              <w:rPr>
                <w:sz w:val="20"/>
                <w:szCs w:val="20"/>
                <w:lang w:val="ru-RU"/>
              </w:rPr>
            </w:pPr>
            <w:r>
              <w:rPr>
                <w:sz w:val="20"/>
                <w:szCs w:val="20"/>
              </w:rPr>
              <w:t xml:space="preserve">Вид дохода/Код дохода </w:t>
            </w:r>
            <w:r>
              <w:rPr>
                <w:b/>
                <w:bCs/>
                <w:sz w:val="20"/>
                <w:szCs w:val="20"/>
                <w:vertAlign w:val="superscript"/>
                <w:lang w:val="ru-RU"/>
              </w:rPr>
              <w:t>1</w:t>
            </w:r>
          </w:p>
        </w:tc>
        <w:tc>
          <w:tcPr>
            <w:tcW w:w="1561" w:type="dxa"/>
            <w:gridSpan w:val="2"/>
            <w:vMerge w:val="restart"/>
            <w:vAlign w:val="center"/>
          </w:tcPr>
          <w:p>
            <w:pPr>
              <w:pStyle w:val="249"/>
              <w:rPr>
                <w:sz w:val="20"/>
                <w:szCs w:val="20"/>
              </w:rPr>
            </w:pPr>
            <w:r>
              <w:rPr>
                <w:sz w:val="20"/>
                <w:szCs w:val="20"/>
              </w:rPr>
              <w:t>Зарплата/2000</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rPr>
                <w:sz w:val="20"/>
                <w:szCs w:val="20"/>
                <w:lang w:val="ru-RU"/>
              </w:rPr>
            </w:pPr>
            <w:r>
              <w:rPr>
                <w:sz w:val="20"/>
                <w:szCs w:val="20"/>
                <w:lang w:val="ru-RU"/>
              </w:rPr>
              <w:t>Премии за производственные результаты и иные подобные показатели/2002</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rPr>
                <w:sz w:val="20"/>
                <w:szCs w:val="20"/>
              </w:rPr>
            </w:pPr>
            <w:r>
              <w:rPr>
                <w:sz w:val="20"/>
                <w:szCs w:val="20"/>
              </w:rPr>
              <w:t>Отпускные/2012</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ind w:right="339"/>
              <w:rPr>
                <w:sz w:val="20"/>
                <w:szCs w:val="20"/>
              </w:rPr>
            </w:pPr>
            <w:r>
              <w:rPr>
                <w:sz w:val="20"/>
                <w:szCs w:val="20"/>
              </w:rPr>
              <w:t>Компенсация за неиспользованный отпуск/2013</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rPr>
                <w:sz w:val="20"/>
                <w:szCs w:val="20"/>
              </w:rPr>
            </w:pPr>
            <w:r>
              <w:rPr>
                <w:sz w:val="20"/>
                <w:szCs w:val="20"/>
              </w:rPr>
              <w:t>Сверхнормативные</w:t>
            </w:r>
            <w:r>
              <w:rPr>
                <w:sz w:val="20"/>
                <w:szCs w:val="20"/>
                <w:lang w:val="ru-RU"/>
              </w:rPr>
              <w:t xml:space="preserve"> </w:t>
            </w:r>
            <w:r>
              <w:rPr>
                <w:sz w:val="20"/>
                <w:szCs w:val="20"/>
              </w:rPr>
              <w:t>суточные/2015</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ind w:right="74"/>
              <w:rPr>
                <w:sz w:val="20"/>
                <w:szCs w:val="20"/>
              </w:rPr>
            </w:pPr>
            <w:r>
              <w:rPr>
                <w:sz w:val="20"/>
                <w:szCs w:val="20"/>
              </w:rPr>
              <w:t>Пособие по временной нетрудоспособности/2300</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vAlign w:val="center"/>
          </w:tcPr>
          <w:p>
            <w:pPr>
              <w:pStyle w:val="249"/>
              <w:rPr>
                <w:sz w:val="20"/>
                <w:szCs w:val="20"/>
              </w:rPr>
            </w:pPr>
            <w:r>
              <w:rPr>
                <w:sz w:val="20"/>
                <w:szCs w:val="20"/>
              </w:rPr>
              <w:t>Материальная</w:t>
            </w:r>
            <w:r>
              <w:rPr>
                <w:sz w:val="20"/>
                <w:szCs w:val="20"/>
                <w:lang w:val="ru-RU"/>
              </w:rPr>
              <w:t xml:space="preserve"> </w:t>
            </w:r>
            <w:r>
              <w:rPr>
                <w:sz w:val="20"/>
                <w:szCs w:val="20"/>
              </w:rPr>
              <w:t>помощь/2760</w:t>
            </w:r>
          </w:p>
        </w:tc>
        <w:tc>
          <w:tcPr>
            <w:tcW w:w="1134" w:type="dxa"/>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874" w:type="dxa"/>
            <w:vMerge w:val="continue"/>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2435" w:type="dxa"/>
            <w:gridSpan w:val="3"/>
            <w:vMerge w:val="restart"/>
            <w:vAlign w:val="center"/>
          </w:tcPr>
          <w:p>
            <w:pPr>
              <w:pStyle w:val="249"/>
              <w:ind w:right="82"/>
              <w:rPr>
                <w:sz w:val="20"/>
                <w:szCs w:val="20"/>
                <w:lang w:val="ru-RU"/>
              </w:rPr>
            </w:pPr>
            <w:r>
              <w:rPr>
                <w:sz w:val="20"/>
                <w:szCs w:val="20"/>
                <w:lang w:val="ru-RU"/>
              </w:rPr>
              <w:t xml:space="preserve">Вычеты в размерах, предусмотренных ст. 217 НК РФ </w:t>
            </w:r>
            <w:r>
              <w:rPr>
                <w:b/>
                <w:bCs/>
                <w:sz w:val="20"/>
                <w:szCs w:val="20"/>
                <w:vertAlign w:val="superscript"/>
                <w:lang w:val="ru-RU"/>
              </w:rPr>
              <w:t>2</w:t>
            </w:r>
          </w:p>
        </w:tc>
        <w:tc>
          <w:tcPr>
            <w:tcW w:w="1134" w:type="dxa"/>
            <w:vAlign w:val="center"/>
          </w:tcPr>
          <w:p>
            <w:pPr>
              <w:pStyle w:val="249"/>
              <w:tabs>
                <w:tab w:val="left" w:pos="1021"/>
              </w:tabs>
              <w:rPr>
                <w:sz w:val="20"/>
                <w:szCs w:val="20"/>
                <w:lang w:val="ru-RU"/>
              </w:rPr>
            </w:pPr>
            <w:r>
              <w:rPr>
                <w:sz w:val="20"/>
                <w:szCs w:val="20"/>
              </w:rPr>
              <w:t>Код</w:t>
            </w:r>
            <w:r>
              <w:rPr>
                <w:sz w:val="20"/>
                <w:szCs w:val="20"/>
                <w:lang w:val="ru-RU"/>
              </w:rPr>
              <w:t xml:space="preserve"> </w:t>
            </w:r>
            <w:r>
              <w:rPr>
                <w:sz w:val="20"/>
                <w:szCs w:val="20"/>
                <w:u w:val="single"/>
                <w:lang w:val="ru-RU"/>
              </w:rPr>
              <w:t>503</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tabs>
                <w:tab w:val="left" w:pos="1021"/>
              </w:tabs>
              <w:rPr>
                <w:sz w:val="20"/>
                <w:szCs w:val="20"/>
                <w:lang w:val="ru-RU"/>
              </w:rPr>
            </w:pPr>
            <w:r>
              <w:rPr>
                <w:sz w:val="20"/>
                <w:szCs w:val="20"/>
              </w:rPr>
              <w:t>Код</w:t>
            </w:r>
            <w:r>
              <w:rPr>
                <w:sz w:val="20"/>
                <w:szCs w:val="20"/>
                <w:lang w:val="ru-RU"/>
              </w:rPr>
              <w:t xml:space="preserve"> ______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tabs>
                <w:tab w:val="left" w:pos="1021"/>
              </w:tabs>
              <w:rPr>
                <w:sz w:val="20"/>
                <w:szCs w:val="20"/>
                <w:lang w:val="ru-RU"/>
              </w:rPr>
            </w:pPr>
            <w:r>
              <w:rPr>
                <w:sz w:val="20"/>
                <w:szCs w:val="20"/>
              </w:rPr>
              <w:t xml:space="preserve">Код </w:t>
            </w:r>
            <w:r>
              <w:rPr>
                <w:sz w:val="20"/>
                <w:szCs w:val="20"/>
                <w:lang w:val="ru-RU"/>
              </w:rPr>
              <w:t>______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2435" w:type="dxa"/>
            <w:gridSpan w:val="3"/>
            <w:vMerge w:val="restart"/>
            <w:vAlign w:val="center"/>
          </w:tcPr>
          <w:p>
            <w:pPr>
              <w:pStyle w:val="249"/>
              <w:ind w:right="82"/>
              <w:rPr>
                <w:sz w:val="20"/>
                <w:szCs w:val="20"/>
                <w:lang w:val="ru-RU"/>
              </w:rPr>
            </w:pPr>
            <w:r>
              <w:rPr>
                <w:sz w:val="20"/>
                <w:szCs w:val="20"/>
                <w:lang w:val="ru-RU"/>
              </w:rPr>
              <w:t>Общая сумма доходов за минусом вычетов, предусмотренных ст. 217 НК РФ</w:t>
            </w:r>
          </w:p>
        </w:tc>
        <w:tc>
          <w:tcPr>
            <w:tcW w:w="1134" w:type="dxa"/>
            <w:vAlign w:val="center"/>
          </w:tcPr>
          <w:p>
            <w:pPr>
              <w:pStyle w:val="249"/>
              <w:ind w:right="187"/>
              <w:rPr>
                <w:sz w:val="20"/>
                <w:szCs w:val="20"/>
                <w:lang w:val="ru-RU"/>
              </w:rPr>
            </w:pPr>
            <w:r>
              <w:rPr>
                <w:sz w:val="20"/>
                <w:szCs w:val="20"/>
                <w:lang w:val="ru-RU"/>
              </w:rPr>
              <w:t>За период, указанный в графе таблицы</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 w:hRule="atLeast"/>
        </w:trPr>
        <w:tc>
          <w:tcPr>
            <w:tcW w:w="874" w:type="dxa"/>
            <w:vMerge w:val="restart"/>
            <w:vAlign w:val="center"/>
          </w:tcPr>
          <w:p>
            <w:pPr>
              <w:pStyle w:val="249"/>
              <w:ind w:right="151"/>
              <w:rPr>
                <w:sz w:val="20"/>
                <w:szCs w:val="20"/>
              </w:rPr>
            </w:pPr>
            <w:r>
              <w:rPr>
                <w:sz w:val="20"/>
                <w:szCs w:val="20"/>
              </w:rPr>
              <w:t xml:space="preserve">Вычеты/код вычета </w:t>
            </w:r>
            <w:r>
              <w:rPr>
                <w:b/>
                <w:bCs/>
                <w:sz w:val="20"/>
                <w:szCs w:val="20"/>
                <w:vertAlign w:val="superscript"/>
                <w:lang w:val="ru-RU"/>
              </w:rPr>
              <w:t>3</w:t>
            </w:r>
          </w:p>
        </w:tc>
        <w:tc>
          <w:tcPr>
            <w:tcW w:w="1561" w:type="dxa"/>
            <w:gridSpan w:val="2"/>
            <w:vAlign w:val="center"/>
          </w:tcPr>
          <w:p>
            <w:pPr>
              <w:pStyle w:val="249"/>
              <w:ind w:right="44"/>
              <w:rPr>
                <w:sz w:val="20"/>
                <w:szCs w:val="20"/>
              </w:rPr>
            </w:pPr>
            <w:r>
              <w:rPr>
                <w:sz w:val="20"/>
                <w:szCs w:val="20"/>
              </w:rPr>
              <w:t>Стандартные вычеты на детей</w:t>
            </w:r>
          </w:p>
        </w:tc>
        <w:tc>
          <w:tcPr>
            <w:tcW w:w="1134" w:type="dxa"/>
            <w:vAlign w:val="center"/>
          </w:tcPr>
          <w:p>
            <w:pPr>
              <w:pStyle w:val="249"/>
              <w:tabs>
                <w:tab w:val="left" w:pos="1021"/>
              </w:tabs>
              <w:rPr>
                <w:sz w:val="20"/>
                <w:szCs w:val="20"/>
              </w:rPr>
            </w:pPr>
            <w:r>
              <w:rPr>
                <w:sz w:val="20"/>
                <w:szCs w:val="20"/>
              </w:rPr>
              <w:t>Код</w:t>
            </w:r>
            <w:r>
              <w:rPr>
                <w:sz w:val="20"/>
                <w:szCs w:val="20"/>
                <w:lang w:val="ru-RU"/>
              </w:rPr>
              <w:t xml:space="preserve"> </w:t>
            </w:r>
            <w:r>
              <w:rPr>
                <w:sz w:val="20"/>
                <w:szCs w:val="20"/>
                <w:u w:val="single"/>
                <w:lang w:val="ru-RU"/>
              </w:rPr>
              <w:t>126</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Align w:val="center"/>
          </w:tcPr>
          <w:p>
            <w:pPr>
              <w:pStyle w:val="249"/>
              <w:rPr>
                <w:sz w:val="20"/>
                <w:szCs w:val="20"/>
              </w:rPr>
            </w:pPr>
            <w:r>
              <w:rPr>
                <w:sz w:val="20"/>
                <w:szCs w:val="20"/>
              </w:rPr>
              <w:t>Иные стандартные</w:t>
            </w:r>
            <w:r>
              <w:rPr>
                <w:sz w:val="20"/>
                <w:szCs w:val="20"/>
                <w:lang w:val="ru-RU"/>
              </w:rPr>
              <w:t xml:space="preserve"> </w:t>
            </w:r>
            <w:r>
              <w:rPr>
                <w:sz w:val="20"/>
                <w:szCs w:val="20"/>
              </w:rPr>
              <w:t>вычеты</w:t>
            </w:r>
          </w:p>
        </w:tc>
        <w:tc>
          <w:tcPr>
            <w:tcW w:w="1134" w:type="dxa"/>
            <w:vAlign w:val="center"/>
          </w:tcPr>
          <w:p>
            <w:pPr>
              <w:pStyle w:val="249"/>
              <w:rPr>
                <w:sz w:val="20"/>
                <w:szCs w:val="20"/>
                <w:lang w:val="ru-RU"/>
              </w:rPr>
            </w:pPr>
            <w:r>
              <w:rPr>
                <w:sz w:val="20"/>
                <w:szCs w:val="20"/>
              </w:rPr>
              <w:t>Код</w:t>
            </w:r>
            <w:r>
              <w:rPr>
                <w:sz w:val="20"/>
                <w:szCs w:val="20"/>
                <w:lang w:val="ru-RU"/>
              </w:rPr>
              <w:t xml:space="preserve"> </w:t>
            </w:r>
            <w:r>
              <w:rPr>
                <w:sz w:val="20"/>
                <w:szCs w:val="20"/>
                <w:u w:val="single"/>
                <w:lang w:val="ru-RU"/>
              </w:rPr>
              <w:t>127</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95" w:type="dxa"/>
            <w:gridSpan w:val="3"/>
            <w:vAlign w:val="center"/>
          </w:tcPr>
          <w:p>
            <w:pPr>
              <w:pStyle w:val="249"/>
              <w:rPr>
                <w:sz w:val="20"/>
                <w:szCs w:val="20"/>
              </w:rPr>
            </w:pPr>
            <w:r>
              <w:rPr>
                <w:sz w:val="20"/>
                <w:szCs w:val="20"/>
              </w:rPr>
              <w:t>Общая сумма стандартных вычетов</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restart"/>
            <w:tcBorders>
              <w:right w:val="single" w:color="auto" w:sz="4" w:space="0"/>
            </w:tcBorders>
            <w:vAlign w:val="center"/>
          </w:tcPr>
          <w:p>
            <w:pPr>
              <w:pStyle w:val="249"/>
              <w:rPr>
                <w:sz w:val="20"/>
                <w:szCs w:val="20"/>
              </w:rPr>
            </w:pPr>
            <w:r>
              <w:rPr>
                <w:sz w:val="20"/>
                <w:szCs w:val="20"/>
              </w:rPr>
              <w:t>Имущественный вычет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sz w:val="20"/>
                <w:szCs w:val="20"/>
              </w:rPr>
              <w:t>Код</w:t>
            </w:r>
            <w:r>
              <w:rPr>
                <w:sz w:val="20"/>
                <w:szCs w:val="20"/>
                <w:lang w:val="ru-RU"/>
              </w:rPr>
              <w:t xml:space="preserve"> </w:t>
            </w:r>
            <w:r>
              <w:rPr>
                <w:sz w:val="20"/>
                <w:szCs w:val="20"/>
                <w:u w:val="single"/>
                <w:lang w:val="ru-RU"/>
              </w:rPr>
              <w:t>311</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1021"/>
              </w:tabs>
              <w:rPr>
                <w:sz w:val="20"/>
                <w:szCs w:val="20"/>
              </w:rPr>
            </w:pPr>
            <w:r>
              <w:rPr>
                <w:sz w:val="20"/>
                <w:szCs w:val="20"/>
              </w:rPr>
              <w:t>Код</w:t>
            </w:r>
            <w:r>
              <w:rPr>
                <w:sz w:val="20"/>
                <w:szCs w:val="20"/>
                <w:lang w:val="ru-RU"/>
              </w:rPr>
              <w:t xml:space="preserve"> </w:t>
            </w:r>
            <w:r>
              <w:rPr>
                <w:sz w:val="20"/>
                <w:szCs w:val="20"/>
                <w:u w:val="single"/>
                <w:lang w:val="ru-RU"/>
              </w:rPr>
              <w:t>312</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95" w:type="dxa"/>
            <w:gridSpan w:val="3"/>
            <w:vAlign w:val="center"/>
          </w:tcPr>
          <w:p>
            <w:pPr>
              <w:pStyle w:val="249"/>
              <w:rPr>
                <w:sz w:val="20"/>
                <w:szCs w:val="20"/>
                <w:lang w:val="ru-RU"/>
              </w:rPr>
            </w:pPr>
            <w:r>
              <w:rPr>
                <w:sz w:val="20"/>
                <w:szCs w:val="20"/>
                <w:lang w:val="ru-RU"/>
              </w:rPr>
              <w:t>Общая сумма 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561" w:type="dxa"/>
            <w:gridSpan w:val="2"/>
            <w:vMerge w:val="restart"/>
            <w:tcBorders>
              <w:right w:val="single" w:color="auto" w:sz="4" w:space="0"/>
            </w:tcBorders>
            <w:vAlign w:val="center"/>
          </w:tcPr>
          <w:p>
            <w:pPr>
              <w:pStyle w:val="249"/>
              <w:rPr>
                <w:sz w:val="20"/>
                <w:szCs w:val="20"/>
              </w:rPr>
            </w:pPr>
            <w:r>
              <w:rPr>
                <w:sz w:val="20"/>
                <w:szCs w:val="20"/>
              </w:rPr>
              <w:t>Социальный вычет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sz w:val="20"/>
                <w:szCs w:val="20"/>
              </w:rPr>
              <w:t>Код</w:t>
            </w:r>
            <w:r>
              <w:rPr>
                <w:sz w:val="20"/>
                <w:szCs w:val="20"/>
                <w:lang w:val="ru-RU"/>
              </w:rPr>
              <w:t xml:space="preserve"> ______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1021"/>
              </w:tabs>
              <w:rPr>
                <w:sz w:val="20"/>
                <w:szCs w:val="20"/>
              </w:rPr>
            </w:pPr>
            <w:r>
              <w:rPr>
                <w:sz w:val="20"/>
                <w:szCs w:val="20"/>
              </w:rPr>
              <w:t>Код</w:t>
            </w:r>
            <w:r>
              <w:rPr>
                <w:sz w:val="20"/>
                <w:szCs w:val="20"/>
                <w:lang w:val="ru-RU"/>
              </w:rPr>
              <w:t xml:space="preserve"> ______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95" w:type="dxa"/>
            <w:gridSpan w:val="3"/>
            <w:vAlign w:val="center"/>
          </w:tcPr>
          <w:p>
            <w:pPr>
              <w:pStyle w:val="249"/>
              <w:rPr>
                <w:sz w:val="20"/>
                <w:szCs w:val="20"/>
                <w:lang w:val="ru-RU"/>
              </w:rPr>
            </w:pPr>
            <w:r>
              <w:rPr>
                <w:sz w:val="20"/>
                <w:szCs w:val="20"/>
                <w:lang w:val="ru-RU"/>
              </w:rPr>
              <w:t>Общая сумма 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561" w:type="dxa"/>
            <w:gridSpan w:val="2"/>
            <w:vMerge w:val="restart"/>
            <w:vAlign w:val="center"/>
          </w:tcPr>
          <w:p>
            <w:pPr>
              <w:pStyle w:val="249"/>
              <w:ind w:right="290"/>
              <w:rPr>
                <w:sz w:val="20"/>
                <w:szCs w:val="20"/>
              </w:rPr>
            </w:pPr>
            <w:r>
              <w:rPr>
                <w:sz w:val="20"/>
                <w:szCs w:val="20"/>
              </w:rPr>
              <w:t>Профессиональный вычет</w:t>
            </w:r>
          </w:p>
        </w:tc>
        <w:tc>
          <w:tcPr>
            <w:tcW w:w="1134" w:type="dxa"/>
            <w:vAlign w:val="center"/>
          </w:tcPr>
          <w:p>
            <w:pPr>
              <w:pStyle w:val="249"/>
              <w:tabs>
                <w:tab w:val="left" w:pos="1021"/>
              </w:tabs>
              <w:rPr>
                <w:sz w:val="20"/>
                <w:szCs w:val="20"/>
              </w:rPr>
            </w:pPr>
            <w:r>
              <w:rPr>
                <w:sz w:val="20"/>
                <w:szCs w:val="20"/>
              </w:rPr>
              <w:t>Код</w:t>
            </w:r>
            <w:r>
              <w:rPr>
                <w:sz w:val="20"/>
                <w:szCs w:val="20"/>
                <w:lang w:val="ru-RU"/>
              </w:rPr>
              <w:t xml:space="preserve"> ______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74"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1"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tabs>
                <w:tab w:val="left" w:pos="1021"/>
              </w:tabs>
              <w:rPr>
                <w:sz w:val="20"/>
                <w:szCs w:val="20"/>
              </w:rPr>
            </w:pPr>
            <w:r>
              <w:rPr>
                <w:sz w:val="20"/>
                <w:szCs w:val="20"/>
              </w:rPr>
              <w:t>Код</w:t>
            </w:r>
            <w:r>
              <w:rPr>
                <w:sz w:val="20"/>
                <w:szCs w:val="20"/>
                <w:lang w:val="ru-RU"/>
              </w:rPr>
              <w:t xml:space="preserve"> ______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874" w:type="dxa"/>
            <w:vMerge w:val="continue"/>
          </w:tcPr>
          <w:p>
            <w:pPr>
              <w:widowControl w:val="0"/>
              <w:autoSpaceDE w:val="0"/>
              <w:autoSpaceDN w:val="0"/>
              <w:spacing w:after="0" w:line="240" w:lineRule="auto"/>
              <w:rPr>
                <w:rFonts w:ascii="Times New Roman" w:hAnsi="Times New Roman"/>
                <w:sz w:val="20"/>
                <w:szCs w:val="20"/>
                <w:lang w:val="en-US"/>
              </w:rPr>
            </w:pPr>
          </w:p>
        </w:tc>
        <w:tc>
          <w:tcPr>
            <w:tcW w:w="2695" w:type="dxa"/>
            <w:gridSpan w:val="3"/>
          </w:tcPr>
          <w:p>
            <w:pPr>
              <w:pStyle w:val="249"/>
              <w:rPr>
                <w:sz w:val="20"/>
                <w:szCs w:val="20"/>
                <w:lang w:val="ru-RU"/>
              </w:rPr>
            </w:pPr>
            <w:r>
              <w:rPr>
                <w:sz w:val="20"/>
                <w:szCs w:val="20"/>
                <w:lang w:val="ru-RU"/>
              </w:rPr>
              <w:t>Общая сумма 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exact"/>
        </w:trPr>
        <w:tc>
          <w:tcPr>
            <w:tcW w:w="3569" w:type="dxa"/>
            <w:gridSpan w:val="4"/>
            <w:vAlign w:val="center"/>
          </w:tcPr>
          <w:p>
            <w:pPr>
              <w:pStyle w:val="249"/>
              <w:ind w:right="32"/>
              <w:rPr>
                <w:sz w:val="20"/>
                <w:szCs w:val="20"/>
                <w:lang w:val="ru-RU"/>
              </w:rPr>
            </w:pPr>
            <w:r>
              <w:rPr>
                <w:sz w:val="20"/>
                <w:szCs w:val="20"/>
                <w:lang w:val="ru-RU"/>
              </w:rPr>
              <w:t>Основная налоговая база (с начала года), определяемая в соответствии с пп. 9 п. 2.1, п. 3 ст. 210 НК РФ</w:t>
            </w: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tcBorders>
              <w:bottom w:val="nil"/>
            </w:tcBorders>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498" w:type="dxa"/>
            <w:gridSpan w:val="2"/>
            <w:vMerge w:val="restart"/>
            <w:tcBorders>
              <w:right w:val="single" w:color="auto" w:sz="4" w:space="0"/>
            </w:tcBorders>
            <w:vAlign w:val="center"/>
          </w:tcPr>
          <w:p>
            <w:pPr>
              <w:pStyle w:val="249"/>
              <w:rPr>
                <w:sz w:val="20"/>
                <w:szCs w:val="20"/>
                <w:lang w:val="ru-RU"/>
              </w:rPr>
            </w:pPr>
            <w:r>
              <w:rPr>
                <w:sz w:val="20"/>
                <w:szCs w:val="20"/>
                <w:lang w:val="ru-RU"/>
              </w:rPr>
              <w:t>Налоговая база (с начала года), определяемая в соответствии с пп. 2 п. 2.1, п. 2.3 ст. 210 НК РФ</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sz w:val="20"/>
                <w:szCs w:val="20"/>
              </w:rPr>
              <w:t>Доход/код</w:t>
            </w:r>
            <w:r>
              <w:rPr>
                <w:sz w:val="20"/>
                <w:szCs w:val="20"/>
                <w:lang w:val="ru-RU"/>
              </w:rPr>
              <w:t xml:space="preserve"> ______</w:t>
            </w:r>
          </w:p>
        </w:tc>
        <w:tc>
          <w:tcPr>
            <w:tcW w:w="1134" w:type="dxa"/>
            <w:tcBorders>
              <w:left w:val="single" w:color="auto" w:sz="4" w:space="0"/>
            </w:tcBorders>
            <w:vAlign w:val="center"/>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498"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left w:val="single" w:color="auto" w:sz="4" w:space="0"/>
              <w:bottom w:val="single" w:color="000000" w:sz="6" w:space="0"/>
            </w:tcBorders>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1498"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2071" w:type="dxa"/>
            <w:gridSpan w:val="2"/>
            <w:tcBorders>
              <w:top w:val="single" w:color="auto" w:sz="4" w:space="0"/>
              <w:left w:val="single" w:color="auto" w:sz="4" w:space="0"/>
              <w:bottom w:val="single" w:color="auto" w:sz="4" w:space="0"/>
              <w:right w:val="single" w:color="000000" w:sz="6" w:space="0"/>
            </w:tcBorders>
            <w:vAlign w:val="center"/>
          </w:tcPr>
          <w:p>
            <w:pPr>
              <w:pStyle w:val="249"/>
              <w:rPr>
                <w:sz w:val="20"/>
                <w:szCs w:val="20"/>
              </w:rPr>
            </w:pPr>
            <w:r>
              <w:rPr>
                <w:sz w:val="20"/>
                <w:szCs w:val="20"/>
              </w:rPr>
              <w:t>Вычет/код</w:t>
            </w:r>
            <w:r>
              <w:rPr>
                <w:sz w:val="20"/>
                <w:szCs w:val="20"/>
                <w:lang w:val="ru-RU"/>
              </w:rPr>
              <w:t xml:space="preserve"> ______ </w:t>
            </w:r>
            <w:r>
              <w:rPr>
                <w:b/>
                <w:bCs/>
                <w:sz w:val="20"/>
                <w:szCs w:val="20"/>
                <w:vertAlign w:val="superscript"/>
                <w:lang w:val="ru-RU"/>
              </w:rPr>
              <w:t>4</w:t>
            </w:r>
          </w:p>
        </w:tc>
        <w:tc>
          <w:tcPr>
            <w:tcW w:w="905" w:type="dxa"/>
            <w:tcBorders>
              <w:left w:val="single" w:color="000000" w:sz="6"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071" w:type="dxa"/>
            <w:gridSpan w:val="2"/>
            <w:vAlign w:val="center"/>
          </w:tcPr>
          <w:p>
            <w:pPr>
              <w:pStyle w:val="249"/>
              <w:rPr>
                <w:sz w:val="20"/>
                <w:szCs w:val="20"/>
              </w:rPr>
            </w:pPr>
            <w:r>
              <w:rPr>
                <w:sz w:val="20"/>
                <w:szCs w:val="20"/>
              </w:rPr>
              <w:t>Налоговая база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1498" w:type="dxa"/>
            <w:gridSpan w:val="2"/>
            <w:vMerge w:val="restart"/>
            <w:vAlign w:val="center"/>
          </w:tcPr>
          <w:p>
            <w:pPr>
              <w:pStyle w:val="249"/>
              <w:ind w:right="36"/>
              <w:rPr>
                <w:sz w:val="20"/>
                <w:szCs w:val="20"/>
                <w:lang w:val="ru-RU"/>
              </w:rPr>
            </w:pPr>
            <w:r>
              <w:rPr>
                <w:sz w:val="20"/>
                <w:szCs w:val="20"/>
                <w:lang w:val="ru-RU"/>
              </w:rPr>
              <w:t>Совокупность налоговых баз (с начала года), к которой применяется ставка, установленная п. 1 ст. 224 НК РФ</w:t>
            </w:r>
          </w:p>
        </w:tc>
        <w:tc>
          <w:tcPr>
            <w:tcW w:w="2071" w:type="dxa"/>
            <w:gridSpan w:val="2"/>
            <w:vAlign w:val="center"/>
          </w:tcPr>
          <w:p>
            <w:pPr>
              <w:pStyle w:val="249"/>
              <w:rPr>
                <w:sz w:val="20"/>
                <w:szCs w:val="20"/>
              </w:rPr>
            </w:pPr>
            <w:r>
              <w:rPr>
                <w:sz w:val="20"/>
                <w:szCs w:val="20"/>
              </w:rPr>
              <w:t>В пределах 2,4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071" w:type="dxa"/>
            <w:gridSpan w:val="2"/>
            <w:vAlign w:val="center"/>
          </w:tcPr>
          <w:p>
            <w:pPr>
              <w:pStyle w:val="249"/>
              <w:rPr>
                <w:sz w:val="20"/>
                <w:szCs w:val="20"/>
                <w:lang w:val="ru-RU"/>
              </w:rPr>
            </w:pPr>
            <w:r>
              <w:rPr>
                <w:sz w:val="20"/>
                <w:szCs w:val="20"/>
                <w:lang w:val="ru-RU"/>
              </w:rPr>
              <w:t>В части, превышающей 2,4 млн руб., но не более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В части, превышающей 5 млн руб., но не более 20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В части, превышающей 20 млн руб., но не более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В части, превышающей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Общая величина совокупности налоговых баз</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1498" w:type="dxa"/>
            <w:gridSpan w:val="2"/>
            <w:vMerge w:val="restart"/>
            <w:vAlign w:val="center"/>
          </w:tcPr>
          <w:p>
            <w:pPr>
              <w:pStyle w:val="249"/>
              <w:ind w:right="58"/>
              <w:rPr>
                <w:sz w:val="20"/>
                <w:szCs w:val="20"/>
                <w:lang w:val="ru-RU"/>
              </w:rPr>
            </w:pPr>
            <w:r>
              <w:rPr>
                <w:sz w:val="20"/>
                <w:szCs w:val="20"/>
                <w:lang w:val="ru-RU"/>
              </w:rPr>
              <w:t>Сумма налога (с начала года), исчисленная с совокупности налоговых баз налогового резидента, к которой применяется ставка, установленная п. 1 ст. 224 НК РФ</w:t>
            </w:r>
          </w:p>
        </w:tc>
        <w:tc>
          <w:tcPr>
            <w:tcW w:w="2071" w:type="dxa"/>
            <w:gridSpan w:val="2"/>
            <w:vAlign w:val="center"/>
          </w:tcPr>
          <w:p>
            <w:pPr>
              <w:pStyle w:val="249"/>
              <w:rPr>
                <w:sz w:val="20"/>
                <w:szCs w:val="20"/>
                <w:lang w:val="ru-RU"/>
              </w:rPr>
            </w:pPr>
            <w:r>
              <w:rPr>
                <w:sz w:val="20"/>
                <w:szCs w:val="20"/>
                <w:lang w:val="ru-RU"/>
              </w:rPr>
              <w:t>По ставке 13% с совокупной налоговой базы в пределах 2,4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По ставке 15% с части совокупной налоговой базы, превышающей 2,4 млн руб., но не более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По ставке 18% с части совокупной налоговой базы, превышающей 5 млн руб., но не более 20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По ставке 20% с части совокупной налоговой базы, превышающей 20 млн руб., но не более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1498"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071" w:type="dxa"/>
            <w:gridSpan w:val="2"/>
            <w:vAlign w:val="center"/>
          </w:tcPr>
          <w:p>
            <w:pPr>
              <w:pStyle w:val="249"/>
              <w:rPr>
                <w:sz w:val="20"/>
                <w:szCs w:val="20"/>
                <w:lang w:val="ru-RU"/>
              </w:rPr>
            </w:pPr>
            <w:r>
              <w:rPr>
                <w:sz w:val="20"/>
                <w:szCs w:val="20"/>
                <w:lang w:val="ru-RU"/>
              </w:rPr>
              <w:t>По ставке 22% с части совокупной налоговой базы, превышающей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498" w:type="dxa"/>
            <w:gridSpan w:val="2"/>
            <w:vAlign w:val="center"/>
          </w:tcPr>
          <w:p>
            <w:pPr>
              <w:pStyle w:val="249"/>
              <w:ind w:right="263"/>
              <w:rPr>
                <w:sz w:val="20"/>
                <w:szCs w:val="20"/>
                <w:lang w:val="ru-RU"/>
              </w:rPr>
            </w:pPr>
            <w:r>
              <w:rPr>
                <w:sz w:val="20"/>
                <w:szCs w:val="20"/>
                <w:lang w:val="ru-RU"/>
              </w:rPr>
              <w:t xml:space="preserve">Фиксированный авансовый платеж по НДФЛ </w:t>
            </w:r>
            <w:r>
              <w:rPr>
                <w:b/>
                <w:bCs/>
                <w:sz w:val="20"/>
                <w:szCs w:val="20"/>
                <w:vertAlign w:val="superscript"/>
                <w:lang w:val="ru-RU"/>
              </w:rPr>
              <w:t>5</w:t>
            </w:r>
          </w:p>
        </w:tc>
        <w:tc>
          <w:tcPr>
            <w:tcW w:w="2071" w:type="dxa"/>
            <w:gridSpan w:val="2"/>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3569" w:type="dxa"/>
            <w:gridSpan w:val="4"/>
            <w:vAlign w:val="center"/>
          </w:tcPr>
          <w:p>
            <w:pPr>
              <w:pStyle w:val="249"/>
              <w:ind w:right="32"/>
              <w:rPr>
                <w:sz w:val="20"/>
                <w:szCs w:val="20"/>
                <w:lang w:val="ru-RU"/>
              </w:rPr>
            </w:pPr>
            <w:r>
              <w:rPr>
                <w:sz w:val="20"/>
                <w:szCs w:val="20"/>
                <w:lang w:val="ru-RU"/>
              </w:rPr>
              <w:t>Сумма налога, удержанного по ставке 13% с совокупной налоговой базы резидента РФ в пределах 2,4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0" w:hRule="exact"/>
        </w:trPr>
        <w:tc>
          <w:tcPr>
            <w:tcW w:w="3569" w:type="dxa"/>
            <w:gridSpan w:val="4"/>
            <w:vAlign w:val="center"/>
          </w:tcPr>
          <w:p>
            <w:pPr>
              <w:pStyle w:val="249"/>
              <w:ind w:right="32"/>
              <w:rPr>
                <w:sz w:val="20"/>
                <w:szCs w:val="20"/>
                <w:lang w:val="ru-RU"/>
              </w:rPr>
            </w:pPr>
            <w:r>
              <w:rPr>
                <w:sz w:val="20"/>
                <w:szCs w:val="20"/>
                <w:lang w:val="ru-RU"/>
              </w:rPr>
              <w:t>Сумма налога, удержанного по ставке 15% с части совокупной налоговой базы резидента РФ, превышающей 2,4 млн руб., но не более 5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4" w:hRule="exact"/>
        </w:trPr>
        <w:tc>
          <w:tcPr>
            <w:tcW w:w="3569" w:type="dxa"/>
            <w:gridSpan w:val="4"/>
            <w:vAlign w:val="center"/>
          </w:tcPr>
          <w:p>
            <w:pPr>
              <w:pStyle w:val="249"/>
              <w:ind w:right="64"/>
              <w:rPr>
                <w:sz w:val="20"/>
                <w:szCs w:val="20"/>
                <w:lang w:val="ru-RU"/>
              </w:rPr>
            </w:pPr>
            <w:r>
              <w:rPr>
                <w:sz w:val="20"/>
                <w:szCs w:val="20"/>
                <w:lang w:val="ru-RU"/>
              </w:rPr>
              <w:t>Сумма налога, удержанного по ставке 18% с части совокупной налоговой базы резидента РФ, превышающей 5 млн руб., но не более 20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8" w:hRule="exact"/>
        </w:trPr>
        <w:tc>
          <w:tcPr>
            <w:tcW w:w="3569" w:type="dxa"/>
            <w:gridSpan w:val="4"/>
            <w:vAlign w:val="center"/>
          </w:tcPr>
          <w:p>
            <w:pPr>
              <w:pStyle w:val="249"/>
              <w:ind w:right="74"/>
              <w:rPr>
                <w:sz w:val="20"/>
                <w:szCs w:val="20"/>
                <w:lang w:val="ru-RU"/>
              </w:rPr>
            </w:pPr>
            <w:r>
              <w:rPr>
                <w:sz w:val="20"/>
                <w:szCs w:val="20"/>
                <w:lang w:val="ru-RU"/>
              </w:rPr>
              <w:t>Сумма налога, удержанного по ставке 20% с части совокупной налоговой базы резидента РФ, превышающей 20 млн руб., но не более 50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3569" w:type="dxa"/>
            <w:gridSpan w:val="4"/>
            <w:vAlign w:val="center"/>
          </w:tcPr>
          <w:p>
            <w:pPr>
              <w:pStyle w:val="249"/>
              <w:ind w:right="32"/>
              <w:rPr>
                <w:sz w:val="20"/>
                <w:szCs w:val="20"/>
                <w:lang w:val="ru-RU"/>
              </w:rPr>
            </w:pPr>
            <w:r>
              <w:rPr>
                <w:sz w:val="20"/>
                <w:szCs w:val="20"/>
                <w:lang w:val="ru-RU"/>
              </w:rPr>
              <w:t>Сумма налога, удержанного по ставке 22% с части совокупной налоговой базы резидента РФ, превышающей 50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3569" w:type="dxa"/>
            <w:gridSpan w:val="4"/>
            <w:vAlign w:val="center"/>
          </w:tcPr>
          <w:p>
            <w:pPr>
              <w:pStyle w:val="249"/>
              <w:ind w:right="32"/>
              <w:rPr>
                <w:sz w:val="20"/>
                <w:szCs w:val="20"/>
                <w:lang w:val="ru-RU"/>
              </w:rPr>
            </w:pPr>
            <w:r>
              <w:rPr>
                <w:sz w:val="20"/>
                <w:szCs w:val="20"/>
                <w:lang w:val="ru-RU"/>
              </w:rPr>
              <w:t>Сумма дохода, с которого налоговым агентом не удержан налог по ставке 13% с совокупной налоговой базы резидента РФ в пределах 2,4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3569" w:type="dxa"/>
            <w:gridSpan w:val="4"/>
            <w:vAlign w:val="center"/>
          </w:tcPr>
          <w:p>
            <w:pPr>
              <w:pStyle w:val="249"/>
              <w:ind w:right="32"/>
              <w:rPr>
                <w:sz w:val="20"/>
                <w:szCs w:val="20"/>
                <w:lang w:val="ru-RU"/>
              </w:rPr>
            </w:pPr>
            <w:r>
              <w:rPr>
                <w:sz w:val="20"/>
                <w:szCs w:val="20"/>
                <w:lang w:val="ru-RU"/>
              </w:rPr>
              <w:t>Сумма не удержанного налоговым агентом налога по ставке 13% с совокупной налоговой базы резидента РФ в пределах 2,4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дохода, с которого налоговым агентом не удержан налог по ставке 15% с совокупной налоговой базы резидента РФ, превышающей 2,4 млн руб., но не более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не удержанного налоговым агентом налога по ставке 15% с совокупной налоговой базы резидента РФ, превышающей 2,4 млн руб., но не более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дохода, с которого налоговым агентом не удержан налог по ставке 18% с совокупной налоговой базы резидента РФ, превышающей 5 млн руб., но не более 20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не удержанного налоговым агентом налога по ставке 18% с совокупной налоговой базы резидента РФ, превышающей 5 млн руб., но не более 20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дохода, с которого налоговым агентом не удержан налог по ставке 20% с совокупной налоговой базы резидента РФ, превышающей 20 млн руб., но не более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32"/>
              <w:rPr>
                <w:sz w:val="20"/>
                <w:szCs w:val="20"/>
                <w:lang w:val="ru-RU"/>
              </w:rPr>
            </w:pPr>
            <w:r>
              <w:rPr>
                <w:sz w:val="20"/>
                <w:szCs w:val="20"/>
                <w:lang w:val="ru-RU"/>
              </w:rPr>
              <w:t>Сумма не удержанного налоговым агентом налога по ставке 20% с совокупной налоговой базы резидента РФ, превышающей 20 млн руб., но не более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3569" w:type="dxa"/>
            <w:gridSpan w:val="4"/>
            <w:vAlign w:val="center"/>
          </w:tcPr>
          <w:p>
            <w:pPr>
              <w:pStyle w:val="249"/>
              <w:ind w:right="32"/>
              <w:rPr>
                <w:sz w:val="20"/>
                <w:szCs w:val="20"/>
                <w:lang w:val="ru-RU"/>
              </w:rPr>
            </w:pPr>
            <w:r>
              <w:rPr>
                <w:sz w:val="20"/>
                <w:szCs w:val="20"/>
                <w:lang w:val="ru-RU"/>
              </w:rPr>
              <w:t>Сумма дохода, с которого налоговым агентом не удержан налог по ставке 22% с совокупной налоговой базы резидента РФ, превышающей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569" w:type="dxa"/>
            <w:gridSpan w:val="4"/>
            <w:vAlign w:val="center"/>
          </w:tcPr>
          <w:p>
            <w:pPr>
              <w:pStyle w:val="249"/>
              <w:ind w:right="32"/>
              <w:rPr>
                <w:sz w:val="20"/>
                <w:szCs w:val="20"/>
                <w:lang w:val="ru-RU"/>
              </w:rPr>
            </w:pPr>
            <w:r>
              <w:rPr>
                <w:sz w:val="20"/>
                <w:szCs w:val="20"/>
                <w:lang w:val="ru-RU"/>
              </w:rPr>
              <w:t>Сумма не удержанного налоговым агентом налога по ставке 22% с совокупной налоговой базы резидента РФ, превышающей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3569" w:type="dxa"/>
            <w:gridSpan w:val="4"/>
            <w:vAlign w:val="center"/>
          </w:tcPr>
          <w:p>
            <w:pPr>
              <w:pStyle w:val="249"/>
              <w:ind w:right="42"/>
              <w:rPr>
                <w:sz w:val="20"/>
                <w:szCs w:val="20"/>
                <w:lang w:val="ru-RU"/>
              </w:rPr>
            </w:pPr>
            <w:r>
              <w:rPr>
                <w:sz w:val="20"/>
                <w:szCs w:val="20"/>
                <w:lang w:val="ru-RU"/>
              </w:rPr>
              <w:t>Сумма излишне удержанного налоговым агентом налога по ставке 13% с совокупной налоговой базы резидента РФ в пределах 2,4 млн</w:t>
            </w:r>
            <w:r>
              <w:rPr>
                <w:spacing w:val="11"/>
                <w:sz w:val="20"/>
                <w:szCs w:val="20"/>
                <w:lang w:val="ru-RU"/>
              </w:rPr>
              <w:t xml:space="preserve"> </w:t>
            </w:r>
            <w:r>
              <w:rPr>
                <w:sz w:val="20"/>
                <w:szCs w:val="20"/>
                <w:lang w:val="ru-RU"/>
              </w:rPr>
              <w:t>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rPr>
                <w:sz w:val="20"/>
                <w:szCs w:val="20"/>
                <w:lang w:val="ru-RU"/>
              </w:rPr>
            </w:pPr>
            <w:r>
              <w:rPr>
                <w:sz w:val="20"/>
                <w:szCs w:val="20"/>
                <w:lang w:val="ru-RU"/>
              </w:rPr>
              <w:t>Сумма излишне удержанного налоговым агентом налога по ставке 15% с части совокупной налоговой базы резидента РФ, превышающей 2,4 млн руб., но не более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64"/>
              <w:rPr>
                <w:sz w:val="20"/>
                <w:szCs w:val="20"/>
                <w:lang w:val="ru-RU"/>
              </w:rPr>
            </w:pPr>
            <w:r>
              <w:rPr>
                <w:sz w:val="20"/>
                <w:szCs w:val="20"/>
                <w:lang w:val="ru-RU"/>
              </w:rPr>
              <w:t>Сумма излишне удержанного налоговым агентом налога по ставке 18% с части совокупной налоговой базы резидента РФ, превышающей 5 млн руб., но не более 20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64"/>
              <w:rPr>
                <w:sz w:val="20"/>
                <w:szCs w:val="20"/>
                <w:lang w:val="ru-RU"/>
              </w:rPr>
            </w:pPr>
            <w:r>
              <w:rPr>
                <w:sz w:val="20"/>
                <w:szCs w:val="20"/>
                <w:lang w:val="ru-RU"/>
              </w:rPr>
              <w:t>Сумма излишне удержанного налоговым агентом налога по ставке 20% с части совокупной налоговой базы резидента РФ, превышающей 20 млн руб., но не более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569" w:type="dxa"/>
            <w:gridSpan w:val="4"/>
            <w:vAlign w:val="center"/>
          </w:tcPr>
          <w:p>
            <w:pPr>
              <w:pStyle w:val="249"/>
              <w:ind w:right="64"/>
              <w:rPr>
                <w:sz w:val="20"/>
                <w:szCs w:val="20"/>
                <w:lang w:val="ru-RU"/>
              </w:rPr>
            </w:pPr>
            <w:r>
              <w:rPr>
                <w:sz w:val="20"/>
                <w:szCs w:val="20"/>
                <w:lang w:val="ru-RU"/>
              </w:rPr>
              <w:t>Сумма излишне удержанного налоговым агентом налога по ставке 22% с части совокупной налоговой базы резидента РФ, превышающей 50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435" w:type="dxa"/>
            <w:gridSpan w:val="3"/>
            <w:vMerge w:val="restart"/>
            <w:vAlign w:val="center"/>
          </w:tcPr>
          <w:p>
            <w:pPr>
              <w:pStyle w:val="249"/>
              <w:ind w:right="82"/>
              <w:rPr>
                <w:sz w:val="20"/>
                <w:szCs w:val="20"/>
                <w:lang w:val="ru-RU"/>
              </w:rPr>
            </w:pPr>
            <w:r>
              <w:rPr>
                <w:sz w:val="20"/>
                <w:szCs w:val="20"/>
                <w:lang w:val="ru-RU"/>
              </w:rPr>
              <w:t>Возвращенный налоговым агентом налог по ставке 13% с совокупной налоговой базы резидента РФ в пределах 2,4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restart"/>
            <w:vAlign w:val="center"/>
          </w:tcPr>
          <w:p>
            <w:pPr>
              <w:pStyle w:val="249"/>
              <w:ind w:right="82"/>
              <w:rPr>
                <w:sz w:val="20"/>
                <w:szCs w:val="20"/>
                <w:lang w:val="ru-RU"/>
              </w:rPr>
            </w:pPr>
            <w:r>
              <w:rPr>
                <w:sz w:val="20"/>
                <w:szCs w:val="20"/>
                <w:lang w:val="ru-RU"/>
              </w:rPr>
              <w:t>Возвращенный налоговым агентом налог по ставке 15% с части совокупной налоговой базы резидента РФ, превышающей 2,4 млн руб., но не более 5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restart"/>
            <w:vAlign w:val="center"/>
          </w:tcPr>
          <w:p>
            <w:pPr>
              <w:pStyle w:val="249"/>
              <w:rPr>
                <w:sz w:val="20"/>
                <w:szCs w:val="20"/>
                <w:lang w:val="ru-RU"/>
              </w:rPr>
            </w:pPr>
            <w:r>
              <w:rPr>
                <w:sz w:val="20"/>
                <w:szCs w:val="20"/>
                <w:lang w:val="ru-RU"/>
              </w:rPr>
              <w:t>Возвращенный налоговым агентом налог по ставке 18% с части совокупной налоговой базы резидента РФ, превышающей 5 млн руб., но не более 20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2435" w:type="dxa"/>
            <w:gridSpan w:val="3"/>
            <w:vMerge w:val="continue"/>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restart"/>
            <w:vAlign w:val="center"/>
          </w:tcPr>
          <w:p>
            <w:pPr>
              <w:pStyle w:val="249"/>
              <w:ind w:right="82"/>
              <w:rPr>
                <w:sz w:val="20"/>
                <w:szCs w:val="20"/>
                <w:lang w:val="ru-RU"/>
              </w:rPr>
            </w:pPr>
            <w:r>
              <w:rPr>
                <w:sz w:val="20"/>
                <w:szCs w:val="20"/>
                <w:lang w:val="ru-RU"/>
              </w:rPr>
              <w:t>Возвращенный налоговым агентом налог по ставке 20% с части совокупной налоговой базы резидента РФ, превышающей 20 млн руб., но не более 50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restart"/>
            <w:vAlign w:val="center"/>
          </w:tcPr>
          <w:p>
            <w:pPr>
              <w:pStyle w:val="249"/>
              <w:ind w:right="82"/>
              <w:rPr>
                <w:sz w:val="20"/>
                <w:szCs w:val="20"/>
                <w:lang w:val="ru-RU"/>
              </w:rPr>
            </w:pPr>
            <w:r>
              <w:rPr>
                <w:sz w:val="20"/>
                <w:szCs w:val="20"/>
                <w:lang w:val="ru-RU"/>
              </w:rPr>
              <w:t>Возвращенный налоговым агентом налог по ставке 22% с части совокупной налоговой базы резидента РФ, превышающей 50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43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1"/>
              <w:jc w:val="center"/>
              <w:rPr>
                <w:sz w:val="20"/>
                <w:szCs w:val="20"/>
              </w:rPr>
            </w:pPr>
            <w:r>
              <w:rPr>
                <w:w w:val="101"/>
                <w:sz w:val="20"/>
                <w:szCs w:val="20"/>
              </w:rPr>
              <w:t>X</w:t>
            </w:r>
          </w:p>
        </w:tc>
      </w:tr>
    </w:tbl>
    <w:p>
      <w:pPr>
        <w:spacing w:after="0" w:line="240" w:lineRule="auto"/>
        <w:rPr>
          <w:rFonts w:ascii="Times New Roman" w:hAnsi="Times New Roman"/>
          <w:sz w:val="20"/>
          <w:szCs w:val="20"/>
        </w:rPr>
      </w:pPr>
    </w:p>
    <w:p>
      <w:pPr>
        <w:spacing w:after="0" w:line="240" w:lineRule="auto"/>
        <w:ind w:left="142"/>
        <w:jc w:val="both"/>
        <w:rPr>
          <w:rFonts w:ascii="Times New Roman" w:hAnsi="Times New Roman"/>
          <w:sz w:val="24"/>
          <w:szCs w:val="24"/>
        </w:rPr>
      </w:pPr>
      <w:r>
        <w:rPr>
          <w:rFonts w:ascii="Times New Roman" w:hAnsi="Times New Roman"/>
          <w:b/>
          <w:bCs/>
          <w:sz w:val="24"/>
          <w:szCs w:val="24"/>
          <w:vertAlign w:val="superscript"/>
        </w:rPr>
        <w:t>1</w:t>
      </w:r>
      <w:r>
        <w:rPr>
          <w:rFonts w:ascii="Times New Roman" w:hAnsi="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pPr>
        <w:spacing w:after="0" w:line="240" w:lineRule="auto"/>
        <w:ind w:left="142"/>
        <w:jc w:val="both"/>
        <w:rPr>
          <w:rFonts w:ascii="Times New Roman" w:hAnsi="Times New Roman"/>
          <w:sz w:val="24"/>
          <w:szCs w:val="24"/>
        </w:rPr>
      </w:pPr>
      <w:r>
        <w:rPr>
          <w:rFonts w:ascii="Times New Roman" w:hAnsi="Times New Roman"/>
          <w:b/>
          <w:bCs/>
          <w:sz w:val="24"/>
          <w:szCs w:val="24"/>
          <w:vertAlign w:val="superscript"/>
        </w:rPr>
        <w:t>2</w:t>
      </w:r>
      <w:r>
        <w:rPr>
          <w:rFonts w:ascii="Times New Roman" w:hAnsi="Times New Roman"/>
          <w:sz w:val="24"/>
          <w:szCs w:val="24"/>
        </w:rPr>
        <w:t xml:space="preserve"> В строке указываются суммы, которые согласно ст. 217 НК РФ не подлежат налогообложению в пределах установленных лимитов.</w:t>
      </w:r>
    </w:p>
    <w:p>
      <w:pPr>
        <w:spacing w:after="0" w:line="240" w:lineRule="auto"/>
        <w:ind w:left="142"/>
        <w:jc w:val="both"/>
        <w:rPr>
          <w:rFonts w:ascii="Times New Roman" w:hAnsi="Times New Roman"/>
          <w:sz w:val="24"/>
          <w:szCs w:val="24"/>
        </w:rPr>
      </w:pPr>
      <w:r>
        <w:rPr>
          <w:rFonts w:ascii="Times New Roman" w:hAnsi="Times New Roman"/>
          <w:b/>
          <w:bCs/>
          <w:sz w:val="24"/>
          <w:szCs w:val="24"/>
          <w:vertAlign w:val="superscript"/>
        </w:rPr>
        <w:t>3</w:t>
      </w:r>
      <w:r>
        <w:rPr>
          <w:rFonts w:ascii="Times New Roman" w:hAnsi="Times New Roman"/>
          <w:sz w:val="24"/>
          <w:szCs w:val="24"/>
        </w:rPr>
        <w:t xml:space="preserve"> Строки заполняются только при выплате налоговому резиденту РФ доходов, относящихся к основной налоговой базе (п. 3 ст. 210 НК РФ).</w:t>
      </w:r>
    </w:p>
    <w:p>
      <w:pPr>
        <w:pStyle w:val="249"/>
        <w:ind w:left="142"/>
        <w:jc w:val="both"/>
        <w:rPr>
          <w:sz w:val="24"/>
          <w:szCs w:val="24"/>
          <w:lang w:val="ru-RU"/>
        </w:rPr>
      </w:pPr>
      <w:r>
        <w:rPr>
          <w:b/>
          <w:bCs/>
          <w:sz w:val="24"/>
          <w:szCs w:val="24"/>
          <w:vertAlign w:val="superscript"/>
          <w:lang w:val="ru-RU"/>
        </w:rPr>
        <w:t>4</w:t>
      </w:r>
      <w:r>
        <w:rPr>
          <w:sz w:val="24"/>
          <w:szCs w:val="24"/>
          <w:lang w:val="ru-RU"/>
        </w:rPr>
        <w:t xml:space="preserve"> Заполните данную подстроку, если доход можно уменьшить на сумму налоговых вычетов на основании п. 2.3 ст. 210 НК РФ.</w:t>
      </w:r>
    </w:p>
    <w:p>
      <w:pPr>
        <w:pStyle w:val="249"/>
        <w:ind w:left="142"/>
        <w:jc w:val="both"/>
        <w:rPr>
          <w:sz w:val="24"/>
          <w:szCs w:val="24"/>
          <w:lang w:val="ru-RU"/>
        </w:rPr>
      </w:pPr>
      <w:r>
        <w:rPr>
          <w:b/>
          <w:bCs/>
          <w:sz w:val="24"/>
          <w:szCs w:val="24"/>
          <w:vertAlign w:val="superscript"/>
          <w:lang w:val="ru-RU"/>
        </w:rPr>
        <w:t>5</w:t>
      </w:r>
      <w:r>
        <w:rPr>
          <w:sz w:val="24"/>
          <w:szCs w:val="24"/>
          <w:lang w:val="ru-RU"/>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p>
      <w:pPr>
        <w:spacing w:after="0" w:line="240" w:lineRule="auto"/>
        <w:rPr>
          <w:rFonts w:ascii="Times New Roman" w:hAnsi="Times New Roman"/>
          <w:sz w:val="24"/>
          <w:szCs w:val="24"/>
        </w:rPr>
      </w:pPr>
    </w:p>
    <w:p>
      <w:pPr>
        <w:pStyle w:val="3"/>
        <w:spacing w:after="0" w:line="240" w:lineRule="auto"/>
        <w:ind w:left="142"/>
        <w:rPr>
          <w:rFonts w:ascii="Times New Roman" w:hAnsi="Times New Roman"/>
          <w:b/>
          <w:sz w:val="24"/>
          <w:szCs w:val="24"/>
        </w:rPr>
      </w:pPr>
      <w:r>
        <w:rPr>
          <w:rFonts w:ascii="Times New Roman" w:hAnsi="Times New Roman"/>
          <w:b/>
          <w:w w:val="105"/>
          <w:sz w:val="24"/>
          <w:szCs w:val="24"/>
        </w:rPr>
        <w:t>3.2. Удержанный налог и налог, возвращенный налоговым агентом:</w:t>
      </w:r>
    </w:p>
    <w:p>
      <w:pPr>
        <w:spacing w:after="0" w:line="240" w:lineRule="auto"/>
        <w:rPr>
          <w:rFonts w:ascii="Times New Roman" w:hAnsi="Times New Roman"/>
          <w:bCs/>
          <w:iCs/>
          <w:sz w:val="24"/>
          <w:szCs w:val="24"/>
        </w:rPr>
      </w:pPr>
    </w:p>
    <w:tbl>
      <w:tblPr>
        <w:tblStyle w:val="248"/>
        <w:tblW w:w="1561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1134"/>
        <w:gridCol w:w="504"/>
        <w:gridCol w:w="505"/>
        <w:gridCol w:w="504"/>
        <w:gridCol w:w="505"/>
        <w:gridCol w:w="505"/>
        <w:gridCol w:w="504"/>
        <w:gridCol w:w="505"/>
        <w:gridCol w:w="505"/>
        <w:gridCol w:w="504"/>
        <w:gridCol w:w="505"/>
        <w:gridCol w:w="505"/>
        <w:gridCol w:w="504"/>
        <w:gridCol w:w="505"/>
        <w:gridCol w:w="504"/>
        <w:gridCol w:w="505"/>
        <w:gridCol w:w="505"/>
        <w:gridCol w:w="504"/>
        <w:gridCol w:w="505"/>
        <w:gridCol w:w="505"/>
        <w:gridCol w:w="504"/>
        <w:gridCol w:w="505"/>
        <w:gridCol w:w="505"/>
        <w:gridCol w:w="504"/>
        <w:gridCol w:w="505"/>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0" w:hRule="atLeast"/>
        </w:trPr>
        <w:tc>
          <w:tcPr>
            <w:tcW w:w="3003" w:type="dxa"/>
            <w:gridSpan w:val="2"/>
          </w:tcPr>
          <w:p>
            <w:pPr>
              <w:pStyle w:val="249"/>
              <w:ind w:left="0"/>
              <w:jc w:val="center"/>
              <w:rPr>
                <w:sz w:val="20"/>
                <w:szCs w:val="20"/>
              </w:rPr>
            </w:pPr>
            <w:r>
              <w:rPr>
                <w:sz w:val="20"/>
                <w:szCs w:val="20"/>
              </w:rPr>
              <w:t>Показатель</w:t>
            </w:r>
          </w:p>
        </w:tc>
        <w:tc>
          <w:tcPr>
            <w:tcW w:w="504"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января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января</w:t>
            </w:r>
          </w:p>
        </w:tc>
        <w:tc>
          <w:tcPr>
            <w:tcW w:w="504"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февраля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28 (29)</w:t>
            </w:r>
            <w:r>
              <w:rPr>
                <w:spacing w:val="-4"/>
                <w:sz w:val="20"/>
                <w:szCs w:val="20"/>
                <w:lang w:val="ru-RU"/>
              </w:rPr>
              <w:t xml:space="preserve"> </w:t>
            </w:r>
            <w:r>
              <w:rPr>
                <w:spacing w:val="-4"/>
                <w:sz w:val="20"/>
                <w:szCs w:val="20"/>
              </w:rPr>
              <w:t>февраля</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марта</w:t>
            </w:r>
          </w:p>
        </w:tc>
        <w:tc>
          <w:tcPr>
            <w:tcW w:w="504"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марта</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апреля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30 апреля</w:t>
            </w:r>
          </w:p>
        </w:tc>
        <w:tc>
          <w:tcPr>
            <w:tcW w:w="504"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 мая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мая</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 июня</w:t>
            </w:r>
          </w:p>
        </w:tc>
        <w:tc>
          <w:tcPr>
            <w:tcW w:w="504"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30 июня</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июля</w:t>
            </w:r>
          </w:p>
        </w:tc>
        <w:tc>
          <w:tcPr>
            <w:tcW w:w="504"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июля</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августа</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августа</w:t>
            </w:r>
          </w:p>
        </w:tc>
        <w:tc>
          <w:tcPr>
            <w:tcW w:w="504"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сентя</w:t>
            </w:r>
            <w:r>
              <w:rPr>
                <w:spacing w:val="-4"/>
                <w:sz w:val="20"/>
                <w:szCs w:val="20"/>
                <w:lang w:val="ru-RU"/>
              </w:rPr>
              <w:t>б</w:t>
            </w:r>
            <w:r>
              <w:rPr>
                <w:spacing w:val="-4"/>
                <w:sz w:val="20"/>
                <w:szCs w:val="20"/>
              </w:rPr>
              <w:t>ря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30 сентября</w:t>
            </w:r>
          </w:p>
        </w:tc>
        <w:tc>
          <w:tcPr>
            <w:tcW w:w="505"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октября</w:t>
            </w:r>
          </w:p>
        </w:tc>
        <w:tc>
          <w:tcPr>
            <w:tcW w:w="504"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31 октября</w:t>
            </w:r>
          </w:p>
        </w:tc>
        <w:tc>
          <w:tcPr>
            <w:tcW w:w="505" w:type="dxa"/>
          </w:tcPr>
          <w:p>
            <w:pPr>
              <w:pStyle w:val="249"/>
              <w:ind w:left="0"/>
              <w:jc w:val="center"/>
              <w:rPr>
                <w:spacing w:val="-4"/>
                <w:sz w:val="20"/>
                <w:szCs w:val="20"/>
                <w:lang w:val="ru-RU"/>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ноябр</w:t>
            </w:r>
            <w:r>
              <w:rPr>
                <w:spacing w:val="-4"/>
                <w:sz w:val="20"/>
                <w:szCs w:val="20"/>
                <w:lang w:val="ru-RU"/>
              </w:rPr>
              <w:t>я</w:t>
            </w:r>
          </w:p>
        </w:tc>
        <w:tc>
          <w:tcPr>
            <w:tcW w:w="505" w:type="dxa"/>
          </w:tcPr>
          <w:p>
            <w:pPr>
              <w:pStyle w:val="249"/>
              <w:ind w:left="0"/>
              <w:jc w:val="center"/>
              <w:rPr>
                <w:spacing w:val="-4"/>
                <w:sz w:val="20"/>
                <w:szCs w:val="20"/>
              </w:rPr>
            </w:pPr>
            <w:r>
              <w:rPr>
                <w:spacing w:val="-4"/>
                <w:sz w:val="20"/>
                <w:szCs w:val="20"/>
              </w:rPr>
              <w:t>С 23</w:t>
            </w:r>
            <w:r>
              <w:rPr>
                <w:spacing w:val="-4"/>
                <w:sz w:val="20"/>
                <w:szCs w:val="20"/>
                <w:lang w:val="ru-RU"/>
              </w:rPr>
              <w:t xml:space="preserve"> </w:t>
            </w:r>
            <w:r>
              <w:rPr>
                <w:spacing w:val="-4"/>
                <w:sz w:val="20"/>
                <w:szCs w:val="20"/>
              </w:rPr>
              <w:t>по 30 ноября</w:t>
            </w:r>
          </w:p>
        </w:tc>
        <w:tc>
          <w:tcPr>
            <w:tcW w:w="504" w:type="dxa"/>
          </w:tcPr>
          <w:p>
            <w:pPr>
              <w:pStyle w:val="249"/>
              <w:ind w:left="0"/>
              <w:jc w:val="center"/>
              <w:rPr>
                <w:spacing w:val="-4"/>
                <w:sz w:val="20"/>
                <w:szCs w:val="20"/>
              </w:rPr>
            </w:pPr>
            <w:r>
              <w:rPr>
                <w:spacing w:val="-4"/>
                <w:sz w:val="20"/>
                <w:szCs w:val="20"/>
              </w:rPr>
              <w:t>С 1 по</w:t>
            </w:r>
            <w:r>
              <w:rPr>
                <w:spacing w:val="-4"/>
                <w:sz w:val="20"/>
                <w:szCs w:val="20"/>
                <w:lang w:val="ru-RU"/>
              </w:rPr>
              <w:t xml:space="preserve"> </w:t>
            </w:r>
            <w:r>
              <w:rPr>
                <w:spacing w:val="-4"/>
                <w:sz w:val="20"/>
                <w:szCs w:val="20"/>
              </w:rPr>
              <w:t>22</w:t>
            </w:r>
            <w:r>
              <w:rPr>
                <w:spacing w:val="-4"/>
                <w:sz w:val="20"/>
                <w:szCs w:val="20"/>
                <w:lang w:val="ru-RU"/>
              </w:rPr>
              <w:t xml:space="preserve"> </w:t>
            </w:r>
            <w:r>
              <w:rPr>
                <w:spacing w:val="-4"/>
                <w:sz w:val="20"/>
                <w:szCs w:val="20"/>
              </w:rPr>
              <w:t>декабря</w:t>
            </w:r>
          </w:p>
        </w:tc>
        <w:tc>
          <w:tcPr>
            <w:tcW w:w="505" w:type="dxa"/>
          </w:tcPr>
          <w:p>
            <w:pPr>
              <w:pStyle w:val="249"/>
              <w:ind w:left="0"/>
              <w:jc w:val="center"/>
              <w:rPr>
                <w:spacing w:val="-4"/>
                <w:sz w:val="20"/>
                <w:szCs w:val="20"/>
              </w:rPr>
            </w:pPr>
            <w:r>
              <w:rPr>
                <w:spacing w:val="-4"/>
                <w:sz w:val="20"/>
                <w:szCs w:val="20"/>
              </w:rPr>
              <w:t>С 23 по</w:t>
            </w:r>
            <w:r>
              <w:rPr>
                <w:spacing w:val="-4"/>
                <w:sz w:val="20"/>
                <w:szCs w:val="20"/>
                <w:lang w:val="ru-RU"/>
              </w:rPr>
              <w:t xml:space="preserve"> </w:t>
            </w:r>
            <w:r>
              <w:rPr>
                <w:spacing w:val="-4"/>
                <w:sz w:val="20"/>
                <w:szCs w:val="20"/>
              </w:rPr>
              <w:t>31</w:t>
            </w:r>
            <w:r>
              <w:rPr>
                <w:spacing w:val="-4"/>
                <w:sz w:val="20"/>
                <w:szCs w:val="20"/>
                <w:lang w:val="ru-RU"/>
              </w:rPr>
              <w:t xml:space="preserve"> </w:t>
            </w:r>
            <w:r>
              <w:rPr>
                <w:spacing w:val="-4"/>
                <w:sz w:val="20"/>
                <w:szCs w:val="20"/>
              </w:rPr>
              <w:t>декабря</w:t>
            </w:r>
          </w:p>
        </w:tc>
        <w:tc>
          <w:tcPr>
            <w:tcW w:w="505" w:type="dxa"/>
          </w:tcPr>
          <w:p>
            <w:pPr>
              <w:pStyle w:val="249"/>
              <w:ind w:left="0"/>
              <w:jc w:val="center"/>
              <w:rPr>
                <w:spacing w:val="-4"/>
                <w:sz w:val="20"/>
                <w:szCs w:val="20"/>
              </w:rPr>
            </w:pPr>
            <w:r>
              <w:rPr>
                <w:spacing w:val="-4"/>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restart"/>
            <w:vAlign w:val="center"/>
          </w:tcPr>
          <w:p>
            <w:pPr>
              <w:pStyle w:val="249"/>
              <w:ind w:right="89"/>
              <w:rPr>
                <w:sz w:val="20"/>
                <w:szCs w:val="20"/>
                <w:lang w:val="ru-RU"/>
              </w:rPr>
            </w:pPr>
            <w:r>
              <w:rPr>
                <w:sz w:val="20"/>
                <w:szCs w:val="20"/>
                <w:lang w:val="ru-RU"/>
              </w:rPr>
              <w:t>Налог, удержанный по ставке 13% с совокупной налоговой базы резидента РФ в пределах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4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3" w:hRule="atLeast"/>
        </w:trPr>
        <w:tc>
          <w:tcPr>
            <w:tcW w:w="1869" w:type="dxa"/>
            <w:vMerge w:val="restart"/>
            <w:vAlign w:val="center"/>
          </w:tcPr>
          <w:p>
            <w:pPr>
              <w:pStyle w:val="249"/>
              <w:ind w:right="51"/>
              <w:rPr>
                <w:sz w:val="20"/>
                <w:szCs w:val="20"/>
                <w:lang w:val="ru-RU"/>
              </w:rPr>
            </w:pPr>
            <w:r>
              <w:rPr>
                <w:sz w:val="20"/>
                <w:szCs w:val="20"/>
                <w:lang w:val="ru-RU"/>
              </w:rPr>
              <w:t>Налог, удержанный по ставке 15% с части совокупной налоговой базы резидента РФ, превышающей 2,4 млн руб., но не более 5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3"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4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1869" w:type="dxa"/>
            <w:vMerge w:val="restart"/>
            <w:vAlign w:val="center"/>
          </w:tcPr>
          <w:p>
            <w:pPr>
              <w:pStyle w:val="249"/>
              <w:ind w:right="-1"/>
              <w:rPr>
                <w:sz w:val="20"/>
                <w:szCs w:val="20"/>
                <w:lang w:val="ru-RU"/>
              </w:rPr>
            </w:pPr>
            <w:r>
              <w:rPr>
                <w:sz w:val="20"/>
                <w:szCs w:val="20"/>
                <w:lang w:val="ru-RU"/>
              </w:rPr>
              <w:t>Налог, удержанный по ставке 18% с части совокупной налоговой базы резидента РФ, превышающей 5 млн руб., но не более 20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4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restart"/>
            <w:vAlign w:val="center"/>
          </w:tcPr>
          <w:p>
            <w:pPr>
              <w:pStyle w:val="249"/>
              <w:ind w:right="79"/>
              <w:rPr>
                <w:sz w:val="20"/>
                <w:szCs w:val="20"/>
                <w:lang w:val="ru-RU"/>
              </w:rPr>
            </w:pPr>
            <w:r>
              <w:rPr>
                <w:sz w:val="20"/>
                <w:szCs w:val="20"/>
                <w:lang w:val="ru-RU"/>
              </w:rPr>
              <w:t>Налог, удержанный по ставке 20% с части совокупной налоговой базы резидента РФ, превышающей 20 млн руб., но не более 50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4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1869" w:type="dxa"/>
            <w:vMerge w:val="restart"/>
            <w:vAlign w:val="center"/>
          </w:tcPr>
          <w:p>
            <w:pPr>
              <w:pStyle w:val="249"/>
              <w:ind w:right="83"/>
              <w:rPr>
                <w:sz w:val="20"/>
                <w:szCs w:val="20"/>
                <w:lang w:val="ru-RU"/>
              </w:rPr>
            </w:pPr>
            <w:r>
              <w:rPr>
                <w:sz w:val="20"/>
                <w:szCs w:val="20"/>
                <w:lang w:val="ru-RU"/>
              </w:rPr>
              <w:t>Налог, удержанный по ставке 22% с части совокупной налоговой базы резидента РФ, превышающей 50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4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restart"/>
            <w:vAlign w:val="center"/>
          </w:tcPr>
          <w:p>
            <w:pPr>
              <w:pStyle w:val="249"/>
              <w:ind w:right="75"/>
              <w:rPr>
                <w:sz w:val="20"/>
                <w:szCs w:val="20"/>
                <w:lang w:val="ru-RU"/>
              </w:rPr>
            </w:pPr>
            <w:r>
              <w:rPr>
                <w:sz w:val="20"/>
                <w:szCs w:val="20"/>
                <w:lang w:val="ru-RU"/>
              </w:rPr>
              <w:t>Возвращенный налоговым агентом налог по ставке 13% с совокупной налоговой базы резидента РФ в пределах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53"/>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869" w:type="dxa"/>
            <w:vMerge w:val="restart"/>
            <w:vAlign w:val="center"/>
          </w:tcPr>
          <w:p>
            <w:pPr>
              <w:pStyle w:val="249"/>
              <w:ind w:right="51"/>
              <w:rPr>
                <w:sz w:val="20"/>
                <w:szCs w:val="20"/>
                <w:lang w:val="ru-RU"/>
              </w:rPr>
            </w:pPr>
            <w:r>
              <w:rPr>
                <w:sz w:val="20"/>
                <w:szCs w:val="20"/>
                <w:lang w:val="ru-RU"/>
              </w:rPr>
              <w:t>Возвращенный налоговым агентом налог по ставке 15% с части совокупной налоговой базы резидента РФ, превышающей 2,4 млн руб., но не более 5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53"/>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trPr>
        <w:tc>
          <w:tcPr>
            <w:tcW w:w="1869" w:type="dxa"/>
            <w:vMerge w:val="restart"/>
            <w:vAlign w:val="center"/>
          </w:tcPr>
          <w:p>
            <w:pPr>
              <w:pStyle w:val="249"/>
              <w:ind w:right="-1"/>
              <w:rPr>
                <w:sz w:val="20"/>
                <w:szCs w:val="20"/>
                <w:lang w:val="ru-RU"/>
              </w:rPr>
            </w:pPr>
            <w:r>
              <w:rPr>
                <w:sz w:val="20"/>
                <w:szCs w:val="20"/>
                <w:lang w:val="ru-RU"/>
              </w:rPr>
              <w:t>Возвращенный налоговым агентом налог по ставке 18% с части совокупной налоговой базы резидента РФ, превышающей 5 млн руб., но не более 20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53"/>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869" w:type="dxa"/>
            <w:vMerge w:val="restart"/>
            <w:vAlign w:val="center"/>
          </w:tcPr>
          <w:p>
            <w:pPr>
              <w:pStyle w:val="249"/>
              <w:ind w:right="75"/>
              <w:rPr>
                <w:sz w:val="20"/>
                <w:szCs w:val="20"/>
                <w:lang w:val="ru-RU"/>
              </w:rPr>
            </w:pPr>
            <w:r>
              <w:rPr>
                <w:sz w:val="20"/>
                <w:szCs w:val="20"/>
                <w:lang w:val="ru-RU"/>
              </w:rPr>
              <w:t>Возвращенный налоговым агентом налог по ставке 20% с части совокупной налоговой базы резидента РФ, превышающей 20 млн руб., но не более 50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53"/>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1869" w:type="dxa"/>
            <w:vMerge w:val="restart"/>
            <w:vAlign w:val="center"/>
          </w:tcPr>
          <w:p>
            <w:pPr>
              <w:pStyle w:val="249"/>
              <w:rPr>
                <w:sz w:val="20"/>
                <w:szCs w:val="20"/>
                <w:lang w:val="ru-RU"/>
              </w:rPr>
            </w:pPr>
            <w:r>
              <w:rPr>
                <w:sz w:val="20"/>
                <w:szCs w:val="20"/>
                <w:lang w:val="ru-RU"/>
              </w:rPr>
              <w:t>Возвращенный налоговым агентом налог по ставке 22% с части совокупной налоговой базы резидента РФ, превышающей 50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53"/>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5"/>
              <w:jc w:val="center"/>
              <w:rPr>
                <w:sz w:val="20"/>
                <w:szCs w:val="20"/>
              </w:rPr>
            </w:pPr>
            <w:r>
              <w:rPr>
                <w:sz w:val="20"/>
                <w:szCs w:val="20"/>
              </w:rPr>
              <w:t>X</w:t>
            </w:r>
          </w:p>
        </w:tc>
      </w:tr>
    </w:tbl>
    <w:p>
      <w:pPr>
        <w:spacing w:after="0" w:line="240" w:lineRule="auto"/>
        <w:rPr>
          <w:rFonts w:ascii="Times New Roman" w:hAnsi="Times New Roman"/>
        </w:rPr>
      </w:pPr>
    </w:p>
    <w:p>
      <w:pPr>
        <w:pStyle w:val="3"/>
        <w:spacing w:after="0" w:line="240" w:lineRule="auto"/>
        <w:ind w:left="147"/>
        <w:jc w:val="both"/>
        <w:rPr>
          <w:rFonts w:ascii="Times New Roman" w:hAnsi="Times New Roman"/>
          <w:b/>
          <w:sz w:val="24"/>
          <w:szCs w:val="24"/>
        </w:rPr>
      </w:pPr>
      <w:r>
        <w:rPr>
          <w:rFonts w:ascii="Times New Roman" w:hAnsi="Times New Roman"/>
          <w:b/>
          <w:w w:val="105"/>
          <w:sz w:val="24"/>
          <w:szCs w:val="24"/>
        </w:rPr>
        <w:t>Раздел 3(1). Налоговая база налогового резидента РФ (п. 6.2 ст. 210 НК РФ), в отношении которой применяется ставка, установленная п. 1.2 ст. 224 НК РФ, и сумма налога</w:t>
      </w:r>
    </w:p>
    <w:p>
      <w:pPr>
        <w:spacing w:after="0" w:line="240" w:lineRule="auto"/>
        <w:rPr>
          <w:rFonts w:ascii="Times New Roman" w:hAnsi="Times New Roman"/>
          <w:b/>
          <w:sz w:val="24"/>
          <w:szCs w:val="24"/>
        </w:rPr>
      </w:pPr>
    </w:p>
    <w:p>
      <w:pPr>
        <w:spacing w:after="0" w:line="240" w:lineRule="auto"/>
        <w:ind w:left="144"/>
        <w:rPr>
          <w:rFonts w:ascii="Times New Roman" w:hAnsi="Times New Roman"/>
          <w:b/>
          <w:sz w:val="24"/>
          <w:szCs w:val="24"/>
        </w:rPr>
      </w:pPr>
      <w:r>
        <w:rPr>
          <w:rFonts w:ascii="Times New Roman" w:hAnsi="Times New Roman"/>
          <w:b/>
          <w:w w:val="105"/>
          <w:sz w:val="24"/>
          <w:szCs w:val="24"/>
        </w:rPr>
        <w:t>3.1(1). Расчет налоговой базы и суммы налога</w:t>
      </w:r>
    </w:p>
    <w:p>
      <w:pPr>
        <w:spacing w:after="0" w:line="240" w:lineRule="auto"/>
        <w:rPr>
          <w:rFonts w:ascii="Times New Roman" w:hAnsi="Times New Roman"/>
          <w:b/>
          <w:sz w:val="24"/>
          <w:szCs w:val="24"/>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709"/>
        <w:gridCol w:w="851"/>
        <w:gridCol w:w="1134"/>
        <w:gridCol w:w="905"/>
        <w:gridCol w:w="905"/>
        <w:gridCol w:w="905"/>
        <w:gridCol w:w="905"/>
        <w:gridCol w:w="905"/>
        <w:gridCol w:w="905"/>
        <w:gridCol w:w="905"/>
        <w:gridCol w:w="905"/>
        <w:gridCol w:w="905"/>
        <w:gridCol w:w="905"/>
        <w:gridCol w:w="905"/>
        <w:gridCol w:w="90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3711" w:type="dxa"/>
            <w:gridSpan w:val="4"/>
            <w:vAlign w:val="center"/>
          </w:tcPr>
          <w:p>
            <w:pPr>
              <w:pStyle w:val="249"/>
              <w:ind w:left="0"/>
              <w:jc w:val="center"/>
              <w:rPr>
                <w:sz w:val="20"/>
                <w:szCs w:val="20"/>
              </w:rPr>
            </w:pPr>
            <w:r>
              <w:rPr>
                <w:sz w:val="20"/>
                <w:szCs w:val="20"/>
              </w:rPr>
              <w:t>Показатель</w:t>
            </w:r>
          </w:p>
        </w:tc>
        <w:tc>
          <w:tcPr>
            <w:tcW w:w="905" w:type="dxa"/>
            <w:vAlign w:val="center"/>
          </w:tcPr>
          <w:p>
            <w:pPr>
              <w:pStyle w:val="249"/>
              <w:ind w:left="0"/>
              <w:jc w:val="center"/>
              <w:rPr>
                <w:sz w:val="20"/>
                <w:szCs w:val="20"/>
              </w:rPr>
            </w:pPr>
            <w:r>
              <w:rPr>
                <w:sz w:val="20"/>
                <w:szCs w:val="20"/>
              </w:rPr>
              <w:t>Январь</w:t>
            </w:r>
          </w:p>
        </w:tc>
        <w:tc>
          <w:tcPr>
            <w:tcW w:w="905" w:type="dxa"/>
            <w:vAlign w:val="center"/>
          </w:tcPr>
          <w:p>
            <w:pPr>
              <w:pStyle w:val="249"/>
              <w:ind w:left="0"/>
              <w:jc w:val="center"/>
              <w:rPr>
                <w:sz w:val="20"/>
                <w:szCs w:val="20"/>
              </w:rPr>
            </w:pPr>
            <w:r>
              <w:rPr>
                <w:sz w:val="20"/>
                <w:szCs w:val="20"/>
              </w:rPr>
              <w:t>Февраль</w:t>
            </w:r>
          </w:p>
        </w:tc>
        <w:tc>
          <w:tcPr>
            <w:tcW w:w="905" w:type="dxa"/>
            <w:vAlign w:val="center"/>
          </w:tcPr>
          <w:p>
            <w:pPr>
              <w:pStyle w:val="249"/>
              <w:ind w:left="0"/>
              <w:jc w:val="center"/>
              <w:rPr>
                <w:sz w:val="20"/>
                <w:szCs w:val="20"/>
              </w:rPr>
            </w:pPr>
            <w:r>
              <w:rPr>
                <w:sz w:val="20"/>
                <w:szCs w:val="20"/>
              </w:rPr>
              <w:t>Март</w:t>
            </w:r>
          </w:p>
        </w:tc>
        <w:tc>
          <w:tcPr>
            <w:tcW w:w="905" w:type="dxa"/>
            <w:vAlign w:val="center"/>
          </w:tcPr>
          <w:p>
            <w:pPr>
              <w:pStyle w:val="249"/>
              <w:ind w:left="0"/>
              <w:jc w:val="center"/>
              <w:rPr>
                <w:sz w:val="20"/>
                <w:szCs w:val="20"/>
              </w:rPr>
            </w:pPr>
            <w:r>
              <w:rPr>
                <w:sz w:val="20"/>
                <w:szCs w:val="20"/>
              </w:rPr>
              <w:t>Апрель</w:t>
            </w:r>
          </w:p>
        </w:tc>
        <w:tc>
          <w:tcPr>
            <w:tcW w:w="905" w:type="dxa"/>
            <w:vAlign w:val="center"/>
          </w:tcPr>
          <w:p>
            <w:pPr>
              <w:pStyle w:val="249"/>
              <w:ind w:left="0"/>
              <w:jc w:val="center"/>
              <w:rPr>
                <w:sz w:val="20"/>
                <w:szCs w:val="20"/>
              </w:rPr>
            </w:pPr>
            <w:r>
              <w:rPr>
                <w:sz w:val="20"/>
                <w:szCs w:val="20"/>
              </w:rPr>
              <w:t>Май</w:t>
            </w:r>
          </w:p>
        </w:tc>
        <w:tc>
          <w:tcPr>
            <w:tcW w:w="905" w:type="dxa"/>
            <w:vAlign w:val="center"/>
          </w:tcPr>
          <w:p>
            <w:pPr>
              <w:pStyle w:val="249"/>
              <w:ind w:left="0"/>
              <w:jc w:val="center"/>
              <w:rPr>
                <w:sz w:val="20"/>
                <w:szCs w:val="20"/>
              </w:rPr>
            </w:pPr>
            <w:r>
              <w:rPr>
                <w:sz w:val="20"/>
                <w:szCs w:val="20"/>
              </w:rPr>
              <w:t>Июнь</w:t>
            </w:r>
          </w:p>
        </w:tc>
        <w:tc>
          <w:tcPr>
            <w:tcW w:w="905" w:type="dxa"/>
            <w:vAlign w:val="center"/>
          </w:tcPr>
          <w:p>
            <w:pPr>
              <w:pStyle w:val="249"/>
              <w:ind w:left="0"/>
              <w:jc w:val="center"/>
              <w:rPr>
                <w:sz w:val="20"/>
                <w:szCs w:val="20"/>
              </w:rPr>
            </w:pPr>
            <w:r>
              <w:rPr>
                <w:sz w:val="20"/>
                <w:szCs w:val="20"/>
              </w:rPr>
              <w:t>Июль</w:t>
            </w:r>
          </w:p>
        </w:tc>
        <w:tc>
          <w:tcPr>
            <w:tcW w:w="905" w:type="dxa"/>
            <w:vAlign w:val="center"/>
          </w:tcPr>
          <w:p>
            <w:pPr>
              <w:pStyle w:val="249"/>
              <w:ind w:left="0"/>
              <w:jc w:val="center"/>
              <w:rPr>
                <w:sz w:val="20"/>
                <w:szCs w:val="20"/>
              </w:rPr>
            </w:pPr>
            <w:r>
              <w:rPr>
                <w:sz w:val="20"/>
                <w:szCs w:val="20"/>
              </w:rPr>
              <w:t>Август</w:t>
            </w:r>
          </w:p>
        </w:tc>
        <w:tc>
          <w:tcPr>
            <w:tcW w:w="905" w:type="dxa"/>
            <w:vAlign w:val="center"/>
          </w:tcPr>
          <w:p>
            <w:pPr>
              <w:pStyle w:val="249"/>
              <w:ind w:left="0"/>
              <w:jc w:val="center"/>
              <w:rPr>
                <w:sz w:val="20"/>
                <w:szCs w:val="20"/>
              </w:rPr>
            </w:pPr>
            <w:r>
              <w:rPr>
                <w:sz w:val="20"/>
                <w:szCs w:val="20"/>
              </w:rPr>
              <w:t>Сентябрь</w:t>
            </w:r>
          </w:p>
        </w:tc>
        <w:tc>
          <w:tcPr>
            <w:tcW w:w="905" w:type="dxa"/>
            <w:vAlign w:val="center"/>
          </w:tcPr>
          <w:p>
            <w:pPr>
              <w:pStyle w:val="249"/>
              <w:ind w:left="0"/>
              <w:jc w:val="center"/>
              <w:rPr>
                <w:sz w:val="20"/>
                <w:szCs w:val="20"/>
              </w:rPr>
            </w:pPr>
            <w:r>
              <w:rPr>
                <w:sz w:val="20"/>
                <w:szCs w:val="20"/>
              </w:rPr>
              <w:t>Октябрь</w:t>
            </w:r>
          </w:p>
        </w:tc>
        <w:tc>
          <w:tcPr>
            <w:tcW w:w="905" w:type="dxa"/>
            <w:vAlign w:val="center"/>
          </w:tcPr>
          <w:p>
            <w:pPr>
              <w:pStyle w:val="249"/>
              <w:ind w:left="0"/>
              <w:jc w:val="center"/>
              <w:rPr>
                <w:sz w:val="20"/>
                <w:szCs w:val="20"/>
              </w:rPr>
            </w:pPr>
            <w:r>
              <w:rPr>
                <w:sz w:val="20"/>
                <w:szCs w:val="20"/>
              </w:rPr>
              <w:t>Ноябрь</w:t>
            </w:r>
          </w:p>
        </w:tc>
        <w:tc>
          <w:tcPr>
            <w:tcW w:w="905" w:type="dxa"/>
            <w:vAlign w:val="center"/>
          </w:tcPr>
          <w:p>
            <w:pPr>
              <w:pStyle w:val="249"/>
              <w:ind w:left="0"/>
              <w:jc w:val="center"/>
              <w:rPr>
                <w:sz w:val="20"/>
                <w:szCs w:val="20"/>
              </w:rPr>
            </w:pPr>
            <w:r>
              <w:rPr>
                <w:sz w:val="20"/>
                <w:szCs w:val="20"/>
              </w:rPr>
              <w:t>Декабрь</w:t>
            </w:r>
          </w:p>
        </w:tc>
        <w:tc>
          <w:tcPr>
            <w:tcW w:w="905" w:type="dxa"/>
            <w:vAlign w:val="center"/>
          </w:tcPr>
          <w:p>
            <w:pPr>
              <w:pStyle w:val="249"/>
              <w:ind w:left="0"/>
              <w:jc w:val="center"/>
              <w:rPr>
                <w:sz w:val="20"/>
                <w:szCs w:val="20"/>
              </w:rPr>
            </w:pPr>
            <w:r>
              <w:rPr>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1017" w:type="dxa"/>
            <w:vMerge w:val="restart"/>
            <w:vAlign w:val="center"/>
          </w:tcPr>
          <w:p>
            <w:pPr>
              <w:pStyle w:val="249"/>
              <w:rPr>
                <w:sz w:val="20"/>
                <w:szCs w:val="20"/>
              </w:rPr>
            </w:pPr>
            <w:r>
              <w:rPr>
                <w:sz w:val="20"/>
                <w:szCs w:val="20"/>
              </w:rPr>
              <w:t xml:space="preserve">Вид дохода/Код дохода </w:t>
            </w:r>
            <w:r>
              <w:rPr>
                <w:b/>
                <w:bCs/>
                <w:sz w:val="20"/>
                <w:szCs w:val="20"/>
                <w:vertAlign w:val="superscript"/>
                <w:lang w:val="ru-RU"/>
              </w:rPr>
              <w:t>1</w:t>
            </w:r>
          </w:p>
        </w:tc>
        <w:tc>
          <w:tcPr>
            <w:tcW w:w="1560" w:type="dxa"/>
            <w:gridSpan w:val="2"/>
            <w:vMerge w:val="restart"/>
            <w:vAlign w:val="center"/>
          </w:tcPr>
          <w:p>
            <w:pPr>
              <w:pStyle w:val="249"/>
              <w:rPr>
                <w:sz w:val="20"/>
                <w:szCs w:val="20"/>
              </w:rPr>
            </w:pPr>
            <w:r>
              <w:rPr>
                <w:sz w:val="20"/>
                <w:szCs w:val="20"/>
              </w:rPr>
              <w:t>Зарплата/2000</w:t>
            </w:r>
          </w:p>
        </w:tc>
        <w:tc>
          <w:tcPr>
            <w:tcW w:w="1134" w:type="dxa"/>
            <w:vAlign w:val="center"/>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restart"/>
            <w:vAlign w:val="center"/>
          </w:tcPr>
          <w:p>
            <w:pPr>
              <w:pStyle w:val="249"/>
              <w:rPr>
                <w:sz w:val="20"/>
                <w:szCs w:val="20"/>
              </w:rPr>
            </w:pPr>
            <w:r>
              <w:rPr>
                <w:sz w:val="20"/>
                <w:szCs w:val="20"/>
              </w:rPr>
              <w:t>Доход/код</w:t>
            </w:r>
          </w:p>
        </w:tc>
        <w:tc>
          <w:tcPr>
            <w:tcW w:w="1134" w:type="dxa"/>
            <w:vAlign w:val="center"/>
          </w:tcPr>
          <w:p>
            <w:pPr>
              <w:pStyle w:val="249"/>
              <w:rPr>
                <w:sz w:val="20"/>
                <w:szCs w:val="20"/>
              </w:rPr>
            </w:pPr>
            <w:r>
              <w:rPr>
                <w:sz w:val="20"/>
                <w:szCs w:val="20"/>
              </w:rPr>
              <w:t>Дата получения</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2577" w:type="dxa"/>
            <w:gridSpan w:val="3"/>
            <w:vMerge w:val="restart"/>
            <w:vAlign w:val="center"/>
          </w:tcPr>
          <w:p>
            <w:pPr>
              <w:pStyle w:val="249"/>
              <w:rPr>
                <w:sz w:val="20"/>
                <w:szCs w:val="20"/>
                <w:lang w:val="ru-RU"/>
              </w:rPr>
            </w:pPr>
            <w:r>
              <w:rPr>
                <w:sz w:val="20"/>
                <w:szCs w:val="20"/>
                <w:lang w:val="ru-RU"/>
              </w:rPr>
              <w:t xml:space="preserve">Вычеты в размерах, предусмотренных ст. 217 НК РФ </w:t>
            </w:r>
            <w:r>
              <w:rPr>
                <w:b/>
                <w:bCs/>
                <w:sz w:val="20"/>
                <w:szCs w:val="20"/>
                <w:vertAlign w:val="superscript"/>
                <w:lang w:val="ru-RU"/>
              </w:rPr>
              <w:t>2</w:t>
            </w:r>
          </w:p>
        </w:tc>
        <w:tc>
          <w:tcPr>
            <w:tcW w:w="1134" w:type="dxa"/>
            <w:vAlign w:val="center"/>
          </w:tcPr>
          <w:p>
            <w:pPr>
              <w:pStyle w:val="249"/>
              <w:tabs>
                <w:tab w:val="left" w:pos="922"/>
              </w:tabs>
              <w:rPr>
                <w:sz w:val="20"/>
                <w:szCs w:val="20"/>
                <w:lang w:val="ru-RU"/>
              </w:rPr>
            </w:pPr>
            <w:r>
              <w:rPr>
                <w:sz w:val="20"/>
                <w:szCs w:val="20"/>
              </w:rPr>
              <w:t xml:space="preserve">Код </w:t>
            </w:r>
            <w:r>
              <w:rPr>
                <w:sz w:val="20"/>
                <w:szCs w:val="20"/>
                <w:lang w:val="ru-RU"/>
              </w:rPr>
              <w:t>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2577"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tabs>
                <w:tab w:val="left" w:pos="922"/>
              </w:tabs>
              <w:rPr>
                <w:sz w:val="20"/>
                <w:szCs w:val="20"/>
                <w:lang w:val="ru-RU"/>
              </w:rPr>
            </w:pPr>
            <w:r>
              <w:rPr>
                <w:sz w:val="20"/>
                <w:szCs w:val="20"/>
              </w:rPr>
              <w:t xml:space="preserve">Код </w:t>
            </w:r>
            <w:r>
              <w:rPr>
                <w:sz w:val="20"/>
                <w:szCs w:val="20"/>
                <w:lang w:val="ru-RU"/>
              </w:rPr>
              <w:t>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77" w:type="dxa"/>
            <w:gridSpan w:val="3"/>
            <w:vMerge w:val="restart"/>
            <w:vAlign w:val="center"/>
          </w:tcPr>
          <w:p>
            <w:pPr>
              <w:pStyle w:val="249"/>
              <w:ind w:right="29"/>
              <w:rPr>
                <w:sz w:val="20"/>
                <w:szCs w:val="20"/>
                <w:lang w:val="ru-RU"/>
              </w:rPr>
            </w:pPr>
            <w:r>
              <w:rPr>
                <w:sz w:val="20"/>
                <w:szCs w:val="20"/>
                <w:lang w:val="ru-RU"/>
              </w:rPr>
              <w:t>Общая сумма доходов за минусом вычетов, предусмотренных ст. 217 НК РФ</w:t>
            </w:r>
          </w:p>
        </w:tc>
        <w:tc>
          <w:tcPr>
            <w:tcW w:w="1134" w:type="dxa"/>
            <w:vAlign w:val="center"/>
          </w:tcPr>
          <w:p>
            <w:pPr>
              <w:pStyle w:val="249"/>
              <w:ind w:right="86"/>
              <w:rPr>
                <w:sz w:val="20"/>
                <w:szCs w:val="20"/>
                <w:lang w:val="ru-RU"/>
              </w:rPr>
            </w:pPr>
            <w:r>
              <w:rPr>
                <w:sz w:val="20"/>
                <w:szCs w:val="20"/>
                <w:lang w:val="ru-RU"/>
              </w:rPr>
              <w:t>За период, указанный в графе таблицы</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2577"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017" w:type="dxa"/>
            <w:vMerge w:val="restart"/>
            <w:vAlign w:val="center"/>
          </w:tcPr>
          <w:p>
            <w:pPr>
              <w:pStyle w:val="249"/>
              <w:rPr>
                <w:sz w:val="20"/>
                <w:szCs w:val="20"/>
              </w:rPr>
            </w:pPr>
            <w:r>
              <w:rPr>
                <w:sz w:val="20"/>
                <w:szCs w:val="20"/>
              </w:rPr>
              <w:t xml:space="preserve">Вычеты/код вычета </w:t>
            </w:r>
            <w:r>
              <w:rPr>
                <w:b/>
                <w:bCs/>
                <w:sz w:val="20"/>
                <w:szCs w:val="20"/>
                <w:vertAlign w:val="superscript"/>
                <w:lang w:val="ru-RU"/>
              </w:rPr>
              <w:t>3</w:t>
            </w:r>
          </w:p>
        </w:tc>
        <w:tc>
          <w:tcPr>
            <w:tcW w:w="1560" w:type="dxa"/>
            <w:gridSpan w:val="2"/>
            <w:vMerge w:val="restart"/>
            <w:vAlign w:val="center"/>
          </w:tcPr>
          <w:p>
            <w:pPr>
              <w:pStyle w:val="249"/>
              <w:ind w:right="149"/>
              <w:rPr>
                <w:sz w:val="20"/>
                <w:szCs w:val="20"/>
              </w:rPr>
            </w:pPr>
            <w:r>
              <w:rPr>
                <w:sz w:val="20"/>
                <w:szCs w:val="20"/>
              </w:rPr>
              <w:t>Стандартные вычеты на детей</w:t>
            </w:r>
          </w:p>
        </w:tc>
        <w:tc>
          <w:tcPr>
            <w:tcW w:w="1134" w:type="dxa"/>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restart"/>
            <w:vAlign w:val="center"/>
          </w:tcPr>
          <w:p>
            <w:pPr>
              <w:pStyle w:val="249"/>
              <w:ind w:right="285"/>
              <w:rPr>
                <w:sz w:val="20"/>
                <w:szCs w:val="20"/>
              </w:rPr>
            </w:pPr>
            <w:r>
              <w:rPr>
                <w:sz w:val="20"/>
                <w:szCs w:val="20"/>
              </w:rPr>
              <w:t>Иные стандартные вычеты</w:t>
            </w:r>
          </w:p>
        </w:tc>
        <w:tc>
          <w:tcPr>
            <w:tcW w:w="1134" w:type="dxa"/>
            <w:tcBorders>
              <w:bottom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017" w:type="dxa"/>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pStyle w:val="249"/>
              <w:rPr>
                <w:sz w:val="20"/>
                <w:szCs w:val="20"/>
              </w:rPr>
            </w:pPr>
            <w:r>
              <w:rPr>
                <w:sz w:val="20"/>
                <w:szCs w:val="20"/>
              </w:rPr>
              <w:t>Общая сумма стандартных вычетов</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restart"/>
            <w:tcBorders>
              <w:right w:val="single" w:color="auto" w:sz="4" w:space="0"/>
            </w:tcBorders>
            <w:vAlign w:val="center"/>
          </w:tcPr>
          <w:p>
            <w:pPr>
              <w:pStyle w:val="249"/>
              <w:rPr>
                <w:sz w:val="20"/>
                <w:szCs w:val="20"/>
              </w:rPr>
            </w:pPr>
            <w:r>
              <w:rPr>
                <w:sz w:val="20"/>
                <w:szCs w:val="20"/>
              </w:rPr>
              <w:t>Имущественный вычет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1017" w:type="dxa"/>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sz w:val="20"/>
                <w:szCs w:val="20"/>
                <w:lang w:val="ru-RU"/>
              </w:rPr>
              <w:t>Общая сумма с начала года</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560" w:type="dxa"/>
            <w:gridSpan w:val="2"/>
            <w:vMerge w:val="restart"/>
            <w:tcBorders>
              <w:right w:val="single" w:color="auto" w:sz="4" w:space="0"/>
            </w:tcBorders>
            <w:vAlign w:val="center"/>
          </w:tcPr>
          <w:p>
            <w:pPr>
              <w:pStyle w:val="249"/>
              <w:rPr>
                <w:sz w:val="20"/>
                <w:szCs w:val="20"/>
              </w:rPr>
            </w:pPr>
            <w:r>
              <w:rPr>
                <w:sz w:val="20"/>
                <w:szCs w:val="20"/>
              </w:rPr>
              <w:t>Социальный вычет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 w:hRule="atLeast"/>
        </w:trPr>
        <w:tc>
          <w:tcPr>
            <w:tcW w:w="1017" w:type="dxa"/>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sz w:val="20"/>
                <w:szCs w:val="20"/>
                <w:lang w:val="ru-RU"/>
              </w:rPr>
              <w:t>Общая сумма с начала года</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560" w:type="dxa"/>
            <w:gridSpan w:val="2"/>
            <w:vMerge w:val="restart"/>
            <w:tcBorders>
              <w:right w:val="single" w:color="auto" w:sz="4" w:space="0"/>
            </w:tcBorders>
            <w:vAlign w:val="center"/>
          </w:tcPr>
          <w:p>
            <w:pPr>
              <w:pStyle w:val="249"/>
              <w:ind w:right="149"/>
              <w:rPr>
                <w:sz w:val="20"/>
                <w:szCs w:val="20"/>
              </w:rPr>
            </w:pPr>
            <w:r>
              <w:rPr>
                <w:w w:val="95"/>
                <w:sz w:val="20"/>
                <w:szCs w:val="20"/>
              </w:rPr>
              <w:t xml:space="preserve">Профессиональный </w:t>
            </w:r>
            <w:r>
              <w:rPr>
                <w:sz w:val="20"/>
                <w:szCs w:val="20"/>
              </w:rPr>
              <w:t>вычет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60" w:type="dxa"/>
            <w:gridSpan w:val="2"/>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922"/>
              </w:tabs>
              <w:rPr>
                <w:sz w:val="20"/>
                <w:szCs w:val="20"/>
              </w:rPr>
            </w:pPr>
            <w:r>
              <w:rPr>
                <w:sz w:val="20"/>
                <w:szCs w:val="20"/>
              </w:rPr>
              <w:t xml:space="preserve">Код </w:t>
            </w:r>
            <w:r>
              <w:rPr>
                <w:sz w:val="20"/>
                <w:szCs w:val="20"/>
                <w:lang w:val="ru-RU"/>
              </w:rPr>
              <w:t>_____</w:t>
            </w:r>
          </w:p>
        </w:tc>
        <w:tc>
          <w:tcPr>
            <w:tcW w:w="905"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01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94" w:type="dxa"/>
            <w:gridSpan w:val="3"/>
            <w:vAlign w:val="center"/>
          </w:tcPr>
          <w:p>
            <w:pPr>
              <w:pStyle w:val="249"/>
              <w:rPr>
                <w:sz w:val="20"/>
                <w:szCs w:val="20"/>
                <w:lang w:val="ru-RU"/>
              </w:rPr>
            </w:pPr>
            <w:r>
              <w:rPr>
                <w:sz w:val="20"/>
                <w:szCs w:val="20"/>
                <w:lang w:val="ru-RU"/>
              </w:rPr>
              <w:t>Общая сумма с начала года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1726" w:type="dxa"/>
            <w:gridSpan w:val="2"/>
            <w:vMerge w:val="restart"/>
            <w:vAlign w:val="center"/>
          </w:tcPr>
          <w:p>
            <w:pPr>
              <w:pStyle w:val="249"/>
              <w:ind w:right="53"/>
              <w:rPr>
                <w:sz w:val="20"/>
                <w:szCs w:val="20"/>
                <w:lang w:val="ru-RU"/>
              </w:rPr>
            </w:pPr>
            <w:r>
              <w:rPr>
                <w:sz w:val="20"/>
                <w:szCs w:val="20"/>
                <w:lang w:val="ru-RU"/>
              </w:rPr>
              <w:t>Налоговая база (с начала года), к которой применяется ставка, установленная п. 1.2 ст. 224 НК РФ</w:t>
            </w:r>
          </w:p>
        </w:tc>
        <w:tc>
          <w:tcPr>
            <w:tcW w:w="1985" w:type="dxa"/>
            <w:gridSpan w:val="2"/>
            <w:vAlign w:val="center"/>
          </w:tcPr>
          <w:p>
            <w:pPr>
              <w:pStyle w:val="249"/>
              <w:rPr>
                <w:sz w:val="20"/>
                <w:szCs w:val="20"/>
                <w:lang w:val="ru-RU"/>
              </w:rPr>
            </w:pPr>
            <w:r>
              <w:rPr>
                <w:sz w:val="20"/>
                <w:szCs w:val="20"/>
                <w:lang w:val="ru-RU"/>
              </w:rPr>
              <w:t>В пределах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726" w:type="dxa"/>
            <w:gridSpan w:val="2"/>
            <w:vMerge w:val="continue"/>
            <w:vAlign w:val="center"/>
          </w:tcPr>
          <w:p>
            <w:pPr>
              <w:pStyle w:val="249"/>
              <w:ind w:right="53"/>
              <w:rPr>
                <w:sz w:val="20"/>
                <w:szCs w:val="20"/>
                <w:lang w:val="ru-RU"/>
              </w:rPr>
            </w:pPr>
          </w:p>
        </w:tc>
        <w:tc>
          <w:tcPr>
            <w:tcW w:w="1985" w:type="dxa"/>
            <w:gridSpan w:val="2"/>
            <w:vAlign w:val="center"/>
          </w:tcPr>
          <w:p>
            <w:pPr>
              <w:pStyle w:val="249"/>
              <w:ind w:right="53"/>
              <w:rPr>
                <w:sz w:val="20"/>
                <w:szCs w:val="20"/>
                <w:lang w:val="ru-RU"/>
              </w:rPr>
            </w:pPr>
            <w:r>
              <w:rPr>
                <w:sz w:val="20"/>
                <w:szCs w:val="20"/>
                <w:lang w:val="ru-RU"/>
              </w:rPr>
              <w:t>В части, превышающей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trPr>
        <w:tc>
          <w:tcPr>
            <w:tcW w:w="1726" w:type="dxa"/>
            <w:gridSpan w:val="2"/>
            <w:vMerge w:val="continue"/>
            <w:vAlign w:val="center"/>
          </w:tcPr>
          <w:p>
            <w:pPr>
              <w:pStyle w:val="249"/>
              <w:ind w:right="53"/>
              <w:rPr>
                <w:sz w:val="20"/>
                <w:szCs w:val="20"/>
                <w:lang w:val="ru-RU"/>
              </w:rPr>
            </w:pPr>
          </w:p>
        </w:tc>
        <w:tc>
          <w:tcPr>
            <w:tcW w:w="1985" w:type="dxa"/>
            <w:gridSpan w:val="2"/>
            <w:vAlign w:val="center"/>
          </w:tcPr>
          <w:p>
            <w:pPr>
              <w:pStyle w:val="249"/>
              <w:ind w:right="53"/>
              <w:rPr>
                <w:sz w:val="20"/>
                <w:szCs w:val="20"/>
                <w:lang w:val="ru-RU"/>
              </w:rPr>
            </w:pPr>
            <w:r>
              <w:rPr>
                <w:sz w:val="20"/>
                <w:szCs w:val="20"/>
                <w:lang w:val="ru-RU"/>
              </w:rPr>
              <w:t>Общая величина налоговой базы</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726" w:type="dxa"/>
            <w:gridSpan w:val="2"/>
            <w:vMerge w:val="restart"/>
            <w:vAlign w:val="center"/>
          </w:tcPr>
          <w:p>
            <w:pPr>
              <w:pStyle w:val="249"/>
              <w:ind w:right="53"/>
              <w:rPr>
                <w:sz w:val="20"/>
                <w:szCs w:val="20"/>
                <w:lang w:val="ru-RU"/>
              </w:rPr>
            </w:pPr>
            <w:r>
              <w:rPr>
                <w:sz w:val="20"/>
                <w:szCs w:val="20"/>
                <w:lang w:val="ru-RU"/>
              </w:rPr>
              <w:t>Сумма налога (с начала года), исчисленная с налоговой базы</w:t>
            </w:r>
          </w:p>
        </w:tc>
        <w:tc>
          <w:tcPr>
            <w:tcW w:w="1985" w:type="dxa"/>
            <w:gridSpan w:val="2"/>
            <w:vAlign w:val="center"/>
          </w:tcPr>
          <w:p>
            <w:pPr>
              <w:pStyle w:val="249"/>
              <w:ind w:right="53"/>
              <w:rPr>
                <w:sz w:val="20"/>
                <w:szCs w:val="20"/>
                <w:lang w:val="ru-RU"/>
              </w:rPr>
            </w:pPr>
            <w:r>
              <w:rPr>
                <w:sz w:val="20"/>
                <w:szCs w:val="20"/>
                <w:lang w:val="ru-RU"/>
              </w:rPr>
              <w:t>Налог, исчисленный по ставке 13% с налоговой базы в пределах 5</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1726" w:type="dxa"/>
            <w:gridSpan w:val="2"/>
            <w:vMerge w:val="continue"/>
          </w:tcPr>
          <w:p>
            <w:pPr>
              <w:pStyle w:val="249"/>
              <w:ind w:right="53"/>
              <w:rPr>
                <w:sz w:val="20"/>
                <w:szCs w:val="20"/>
                <w:lang w:val="ru-RU"/>
              </w:rPr>
            </w:pPr>
          </w:p>
        </w:tc>
        <w:tc>
          <w:tcPr>
            <w:tcW w:w="1985" w:type="dxa"/>
            <w:gridSpan w:val="2"/>
            <w:vAlign w:val="center"/>
          </w:tcPr>
          <w:p>
            <w:pPr>
              <w:pStyle w:val="249"/>
              <w:ind w:right="53"/>
              <w:rPr>
                <w:sz w:val="20"/>
                <w:szCs w:val="20"/>
                <w:lang w:val="ru-RU"/>
              </w:rPr>
            </w:pPr>
            <w:r>
              <w:rPr>
                <w:sz w:val="20"/>
                <w:szCs w:val="20"/>
                <w:lang w:val="ru-RU"/>
              </w:rPr>
              <w:t>Налог, исчисленный по ставке 15% с части налоговой базы, превышающей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exact"/>
        </w:trPr>
        <w:tc>
          <w:tcPr>
            <w:tcW w:w="1726" w:type="dxa"/>
            <w:gridSpan w:val="2"/>
            <w:vAlign w:val="center"/>
          </w:tcPr>
          <w:p>
            <w:pPr>
              <w:pStyle w:val="249"/>
              <w:ind w:right="206"/>
              <w:rPr>
                <w:sz w:val="20"/>
                <w:szCs w:val="20"/>
                <w:lang w:val="ru-RU"/>
              </w:rPr>
            </w:pPr>
            <w:r>
              <w:rPr>
                <w:sz w:val="20"/>
                <w:szCs w:val="20"/>
                <w:lang w:val="ru-RU"/>
              </w:rPr>
              <w:t xml:space="preserve">Фиксированный авансовый платеж по НДФЛ </w:t>
            </w:r>
            <w:r>
              <w:rPr>
                <w:b/>
                <w:bCs/>
                <w:sz w:val="20"/>
                <w:szCs w:val="20"/>
                <w:vertAlign w:val="superscript"/>
                <w:lang w:val="ru-RU"/>
              </w:rPr>
              <w:t>4</w:t>
            </w:r>
          </w:p>
        </w:tc>
        <w:tc>
          <w:tcPr>
            <w:tcW w:w="1985" w:type="dxa"/>
            <w:gridSpan w:val="2"/>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3711" w:type="dxa"/>
            <w:gridSpan w:val="4"/>
            <w:vAlign w:val="center"/>
          </w:tcPr>
          <w:p>
            <w:pPr>
              <w:pStyle w:val="249"/>
              <w:ind w:right="60"/>
              <w:rPr>
                <w:sz w:val="20"/>
                <w:szCs w:val="20"/>
                <w:lang w:val="ru-RU"/>
              </w:rPr>
            </w:pPr>
            <w:r>
              <w:rPr>
                <w:sz w:val="20"/>
                <w:szCs w:val="20"/>
                <w:lang w:val="ru-RU"/>
              </w:rPr>
              <w:t>Сумма налога, удержанного по ставке 13% с налоговой базы резидента РФ в пределах 5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3711" w:type="dxa"/>
            <w:gridSpan w:val="4"/>
            <w:vAlign w:val="center"/>
          </w:tcPr>
          <w:p>
            <w:pPr>
              <w:pStyle w:val="249"/>
              <w:rPr>
                <w:sz w:val="20"/>
                <w:szCs w:val="20"/>
                <w:lang w:val="ru-RU"/>
              </w:rPr>
            </w:pPr>
            <w:r>
              <w:rPr>
                <w:sz w:val="20"/>
                <w:szCs w:val="20"/>
                <w:lang w:val="ru-RU"/>
              </w:rPr>
              <w:t>Сумма налога, удержанного по ставке 15% с части налоговой базы резидента РФ, превышающей 5 млн руб., нарастающим итогом</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3711" w:type="dxa"/>
            <w:gridSpan w:val="4"/>
            <w:vAlign w:val="center"/>
          </w:tcPr>
          <w:p>
            <w:pPr>
              <w:pStyle w:val="249"/>
              <w:rPr>
                <w:sz w:val="20"/>
                <w:szCs w:val="20"/>
                <w:lang w:val="ru-RU"/>
              </w:rPr>
            </w:pPr>
            <w:r>
              <w:rPr>
                <w:sz w:val="20"/>
                <w:szCs w:val="20"/>
                <w:lang w:val="ru-RU"/>
              </w:rPr>
              <w:t>Сумма дохода, с которого налоговым агентом не удержан налог по ставке 13% с налоговой базы резидента РФ в пределах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3711" w:type="dxa"/>
            <w:gridSpan w:val="4"/>
            <w:vAlign w:val="center"/>
          </w:tcPr>
          <w:p>
            <w:pPr>
              <w:pStyle w:val="249"/>
              <w:ind w:right="40"/>
              <w:rPr>
                <w:sz w:val="20"/>
                <w:szCs w:val="20"/>
                <w:lang w:val="ru-RU"/>
              </w:rPr>
            </w:pPr>
            <w:r>
              <w:rPr>
                <w:sz w:val="20"/>
                <w:szCs w:val="20"/>
                <w:lang w:val="ru-RU"/>
              </w:rPr>
              <w:t>Сумма не удержанного налоговым агентом налога по ставке 13% с налоговой базы резидента РФ в пределах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711" w:type="dxa"/>
            <w:gridSpan w:val="4"/>
            <w:vAlign w:val="center"/>
          </w:tcPr>
          <w:p>
            <w:pPr>
              <w:pStyle w:val="249"/>
              <w:ind w:right="236"/>
              <w:rPr>
                <w:sz w:val="20"/>
                <w:szCs w:val="20"/>
                <w:lang w:val="ru-RU"/>
              </w:rPr>
            </w:pPr>
            <w:r>
              <w:rPr>
                <w:sz w:val="20"/>
                <w:szCs w:val="20"/>
                <w:lang w:val="ru-RU"/>
              </w:rPr>
              <w:t>Сумма дохода, с которого налоговым агентом не удержан налог по ставке 15% с части налоговой базы резидента РФ, превышающей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3711" w:type="dxa"/>
            <w:gridSpan w:val="4"/>
            <w:vAlign w:val="center"/>
          </w:tcPr>
          <w:p>
            <w:pPr>
              <w:pStyle w:val="249"/>
              <w:ind w:right="60"/>
              <w:rPr>
                <w:sz w:val="20"/>
                <w:szCs w:val="20"/>
                <w:lang w:val="ru-RU"/>
              </w:rPr>
            </w:pPr>
            <w:r>
              <w:rPr>
                <w:sz w:val="20"/>
                <w:szCs w:val="20"/>
                <w:lang w:val="ru-RU"/>
              </w:rPr>
              <w:t>Сумма не удержанного налоговым агентом налога по ставке 15% с части налоговой базы резидента РФ, превышающей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3711" w:type="dxa"/>
            <w:gridSpan w:val="4"/>
            <w:vAlign w:val="center"/>
          </w:tcPr>
          <w:p>
            <w:pPr>
              <w:pStyle w:val="249"/>
              <w:ind w:right="263"/>
              <w:rPr>
                <w:sz w:val="20"/>
                <w:szCs w:val="20"/>
                <w:lang w:val="ru-RU"/>
              </w:rPr>
            </w:pPr>
            <w:r>
              <w:rPr>
                <w:sz w:val="20"/>
                <w:szCs w:val="20"/>
                <w:lang w:val="ru-RU"/>
              </w:rPr>
              <w:t>Сумма излишне удержанного налоговым агентом налога по ставке 13% с налоговой базы резидента РФ в пределах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711" w:type="dxa"/>
            <w:gridSpan w:val="4"/>
            <w:vAlign w:val="center"/>
          </w:tcPr>
          <w:p>
            <w:pPr>
              <w:pStyle w:val="249"/>
              <w:ind w:right="219"/>
              <w:rPr>
                <w:sz w:val="20"/>
                <w:szCs w:val="20"/>
                <w:lang w:val="ru-RU"/>
              </w:rPr>
            </w:pPr>
            <w:r>
              <w:rPr>
                <w:sz w:val="20"/>
                <w:szCs w:val="20"/>
                <w:lang w:val="ru-RU"/>
              </w:rPr>
              <w:t>Сумма излишне удержанного налоговым агентом налога по ставке 15% с части налоговой базы резидента РФ, превышающей 5 млн руб.</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2577" w:type="dxa"/>
            <w:gridSpan w:val="3"/>
            <w:vMerge w:val="restart"/>
            <w:vAlign w:val="center"/>
          </w:tcPr>
          <w:p>
            <w:pPr>
              <w:pStyle w:val="249"/>
              <w:ind w:right="65"/>
              <w:rPr>
                <w:sz w:val="20"/>
                <w:szCs w:val="20"/>
                <w:lang w:val="ru-RU"/>
              </w:rPr>
            </w:pPr>
            <w:r>
              <w:rPr>
                <w:sz w:val="20"/>
                <w:szCs w:val="20"/>
                <w:lang w:val="ru-RU"/>
              </w:rPr>
              <w:t>Возвращенный налоговым агентом налог по ставке 13% с налоговой базы в пределах 5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2577"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577" w:type="dxa"/>
            <w:gridSpan w:val="3"/>
            <w:vMerge w:val="restart"/>
            <w:vAlign w:val="center"/>
          </w:tcPr>
          <w:p>
            <w:pPr>
              <w:pStyle w:val="249"/>
              <w:ind w:right="214"/>
              <w:rPr>
                <w:sz w:val="20"/>
                <w:szCs w:val="20"/>
                <w:lang w:val="ru-RU"/>
              </w:rPr>
            </w:pPr>
            <w:r>
              <w:rPr>
                <w:sz w:val="20"/>
                <w:szCs w:val="20"/>
                <w:lang w:val="ru-RU"/>
              </w:rPr>
              <w:t>Возвращенный налоговым агентом налог по ставке 15% с части налоговой базы, превышающей 5 млн руб.</w:t>
            </w:r>
          </w:p>
        </w:tc>
        <w:tc>
          <w:tcPr>
            <w:tcW w:w="1134" w:type="dxa"/>
            <w:vAlign w:val="center"/>
          </w:tcPr>
          <w:p>
            <w:pPr>
              <w:pStyle w:val="249"/>
              <w:rPr>
                <w:sz w:val="20"/>
                <w:szCs w:val="20"/>
              </w:rPr>
            </w:pPr>
            <w:r>
              <w:rPr>
                <w:sz w:val="20"/>
                <w:szCs w:val="20"/>
              </w:rPr>
              <w:t>Сумма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577"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05" w:type="dxa"/>
            <w:vAlign w:val="center"/>
          </w:tcPr>
          <w:p>
            <w:pPr>
              <w:pStyle w:val="249"/>
              <w:ind w:left="0"/>
              <w:jc w:val="center"/>
              <w:rPr>
                <w:sz w:val="20"/>
                <w:szCs w:val="20"/>
              </w:rPr>
            </w:pPr>
            <w:r>
              <w:rPr>
                <w:w w:val="99"/>
                <w:sz w:val="20"/>
                <w:szCs w:val="20"/>
              </w:rPr>
              <w:t>X</w:t>
            </w:r>
          </w:p>
        </w:tc>
      </w:tr>
    </w:tbl>
    <w:p>
      <w:pPr>
        <w:spacing w:after="0" w:line="240" w:lineRule="auto"/>
        <w:rPr>
          <w:rFonts w:ascii="Times New Roman" w:hAnsi="Times New Roman"/>
          <w:b/>
          <w:sz w:val="20"/>
          <w:szCs w:val="20"/>
        </w:rPr>
      </w:pPr>
    </w:p>
    <w:p>
      <w:pPr>
        <w:spacing w:after="0" w:line="240" w:lineRule="auto"/>
        <w:ind w:left="142"/>
        <w:jc w:val="both"/>
        <w:rPr>
          <w:rFonts w:ascii="Times New Roman" w:hAnsi="Times New Roman"/>
          <w:sz w:val="24"/>
          <w:szCs w:val="24"/>
        </w:rPr>
      </w:pPr>
      <w:r>
        <w:rPr>
          <w:rFonts w:ascii="Times New Roman" w:hAnsi="Times New Roman"/>
          <w:b/>
          <w:bCs/>
          <w:sz w:val="24"/>
          <w:szCs w:val="24"/>
          <w:vertAlign w:val="superscript"/>
        </w:rPr>
        <w:t>1</w:t>
      </w:r>
      <w:r>
        <w:rPr>
          <w:rFonts w:ascii="Times New Roman" w:hAnsi="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pPr>
        <w:spacing w:after="0" w:line="240" w:lineRule="auto"/>
        <w:ind w:left="142"/>
        <w:jc w:val="both"/>
        <w:rPr>
          <w:rFonts w:ascii="Times New Roman" w:hAnsi="Times New Roman"/>
          <w:b/>
          <w:sz w:val="24"/>
          <w:szCs w:val="24"/>
        </w:rPr>
      </w:pPr>
      <w:r>
        <w:rPr>
          <w:rFonts w:ascii="Times New Roman" w:hAnsi="Times New Roman"/>
          <w:b/>
          <w:bCs/>
          <w:sz w:val="24"/>
          <w:szCs w:val="24"/>
          <w:vertAlign w:val="superscript"/>
        </w:rPr>
        <w:t>2</w:t>
      </w:r>
      <w:r>
        <w:rPr>
          <w:rFonts w:ascii="Times New Roman" w:hAnsi="Times New Roman"/>
          <w:sz w:val="24"/>
          <w:szCs w:val="24"/>
        </w:rPr>
        <w:t xml:space="preserve"> В строке указываются суммы, которые согласно ст. 217 НК РФ не подлежат налогообложению в пределах установленных лимитов.</w:t>
      </w:r>
    </w:p>
    <w:p>
      <w:pPr>
        <w:spacing w:after="0" w:line="240" w:lineRule="auto"/>
        <w:ind w:left="142"/>
        <w:jc w:val="both"/>
        <w:rPr>
          <w:rFonts w:ascii="Times New Roman" w:hAnsi="Times New Roman"/>
          <w:b/>
          <w:sz w:val="24"/>
          <w:szCs w:val="24"/>
        </w:rPr>
      </w:pPr>
      <w:r>
        <w:rPr>
          <w:rFonts w:ascii="Times New Roman" w:hAnsi="Times New Roman"/>
          <w:b/>
          <w:bCs/>
          <w:sz w:val="24"/>
          <w:szCs w:val="24"/>
          <w:vertAlign w:val="superscript"/>
        </w:rPr>
        <w:t>3</w:t>
      </w:r>
      <w:r>
        <w:rPr>
          <w:rFonts w:ascii="Times New Roman" w:hAnsi="Times New Roman"/>
          <w:sz w:val="24"/>
          <w:szCs w:val="24"/>
        </w:rPr>
        <w:t xml:space="preserve"> Строки заполняются, если вычеты не были применены при исчислении иных налоговых баз п. 6.2 ст. 210 НК РФ.</w:t>
      </w:r>
    </w:p>
    <w:p>
      <w:pPr>
        <w:spacing w:after="0" w:line="240" w:lineRule="auto"/>
        <w:ind w:left="142"/>
        <w:jc w:val="both"/>
        <w:rPr>
          <w:rFonts w:ascii="Times New Roman" w:hAnsi="Times New Roman"/>
          <w:sz w:val="24"/>
          <w:szCs w:val="24"/>
        </w:rPr>
      </w:pPr>
      <w:r>
        <w:rPr>
          <w:rFonts w:ascii="Times New Roman" w:hAnsi="Times New Roman"/>
          <w:b/>
          <w:bCs/>
          <w:sz w:val="24"/>
          <w:szCs w:val="24"/>
          <w:vertAlign w:val="superscript"/>
        </w:rPr>
        <w:t>4</w:t>
      </w:r>
      <w:r>
        <w:rPr>
          <w:rFonts w:ascii="Times New Roman" w:hAnsi="Times New Roman"/>
          <w:sz w:val="24"/>
          <w:szCs w:val="24"/>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p>
      <w:pPr>
        <w:spacing w:after="0" w:line="240" w:lineRule="auto"/>
        <w:rPr>
          <w:rFonts w:ascii="Times New Roman" w:hAnsi="Times New Roman"/>
          <w:b/>
          <w:sz w:val="24"/>
          <w:szCs w:val="24"/>
        </w:rPr>
      </w:pPr>
    </w:p>
    <w:p>
      <w:pPr>
        <w:spacing w:after="0" w:line="240" w:lineRule="auto"/>
        <w:ind w:left="144"/>
        <w:rPr>
          <w:rFonts w:ascii="Times New Roman" w:hAnsi="Times New Roman"/>
          <w:b/>
          <w:sz w:val="24"/>
          <w:szCs w:val="24"/>
        </w:rPr>
      </w:pPr>
      <w:r>
        <w:rPr>
          <w:rFonts w:ascii="Times New Roman" w:hAnsi="Times New Roman"/>
          <w:b/>
          <w:w w:val="105"/>
          <w:sz w:val="24"/>
          <w:szCs w:val="24"/>
        </w:rPr>
        <w:t>3.2(1). Удержанный налог и налог, возвращенный налоговым агентом:</w:t>
      </w:r>
    </w:p>
    <w:p>
      <w:pPr>
        <w:spacing w:after="0" w:line="240" w:lineRule="auto"/>
        <w:rPr>
          <w:rFonts w:ascii="Times New Roman" w:hAnsi="Times New Roman"/>
          <w:b/>
          <w:sz w:val="24"/>
          <w:szCs w:val="24"/>
        </w:rPr>
      </w:pPr>
    </w:p>
    <w:tbl>
      <w:tblPr>
        <w:tblStyle w:val="248"/>
        <w:tblW w:w="1561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1134"/>
        <w:gridCol w:w="493"/>
        <w:gridCol w:w="493"/>
        <w:gridCol w:w="493"/>
        <w:gridCol w:w="494"/>
        <w:gridCol w:w="493"/>
        <w:gridCol w:w="493"/>
        <w:gridCol w:w="494"/>
        <w:gridCol w:w="493"/>
        <w:gridCol w:w="493"/>
        <w:gridCol w:w="494"/>
        <w:gridCol w:w="493"/>
        <w:gridCol w:w="493"/>
        <w:gridCol w:w="494"/>
        <w:gridCol w:w="493"/>
        <w:gridCol w:w="493"/>
        <w:gridCol w:w="494"/>
        <w:gridCol w:w="493"/>
        <w:gridCol w:w="493"/>
        <w:gridCol w:w="494"/>
        <w:gridCol w:w="493"/>
        <w:gridCol w:w="493"/>
        <w:gridCol w:w="494"/>
        <w:gridCol w:w="493"/>
        <w:gridCol w:w="493"/>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exact"/>
        </w:trPr>
        <w:tc>
          <w:tcPr>
            <w:tcW w:w="3285" w:type="dxa"/>
            <w:gridSpan w:val="2"/>
          </w:tcPr>
          <w:p>
            <w:pPr>
              <w:pStyle w:val="249"/>
              <w:ind w:left="950" w:right="949"/>
              <w:jc w:val="center"/>
              <w:rPr>
                <w:sz w:val="20"/>
                <w:szCs w:val="20"/>
              </w:rPr>
            </w:pPr>
            <w:r>
              <w:rPr>
                <w:sz w:val="20"/>
                <w:szCs w:val="20"/>
              </w:rPr>
              <w:t>Показатель</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января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января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февраля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28</w:t>
            </w:r>
            <w:r>
              <w:rPr>
                <w:spacing w:val="-8"/>
                <w:sz w:val="20"/>
                <w:szCs w:val="20"/>
                <w:lang w:val="ru-RU"/>
              </w:rPr>
              <w:t xml:space="preserve"> </w:t>
            </w:r>
            <w:r>
              <w:rPr>
                <w:spacing w:val="-8"/>
                <w:sz w:val="20"/>
                <w:szCs w:val="20"/>
              </w:rPr>
              <w:t>(29)</w:t>
            </w:r>
            <w:r>
              <w:rPr>
                <w:spacing w:val="-8"/>
                <w:sz w:val="20"/>
                <w:szCs w:val="20"/>
                <w:lang w:val="ru-RU"/>
              </w:rPr>
              <w:t xml:space="preserve"> </w:t>
            </w:r>
            <w:r>
              <w:rPr>
                <w:spacing w:val="-8"/>
                <w:sz w:val="20"/>
                <w:szCs w:val="20"/>
              </w:rPr>
              <w:t>февраля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марта</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марта</w:t>
            </w:r>
          </w:p>
        </w:tc>
        <w:tc>
          <w:tcPr>
            <w:tcW w:w="494"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апреля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апреля</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мая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мая</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июня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июня</w:t>
            </w:r>
          </w:p>
        </w:tc>
        <w:tc>
          <w:tcPr>
            <w:tcW w:w="494"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июля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июля</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августа</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августа</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сентября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сентября</w:t>
            </w:r>
          </w:p>
        </w:tc>
        <w:tc>
          <w:tcPr>
            <w:tcW w:w="49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октяб</w:t>
            </w:r>
            <w:r>
              <w:rPr>
                <w:spacing w:val="-8"/>
                <w:sz w:val="20"/>
                <w:szCs w:val="20"/>
              </w:rPr>
              <w:t>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октяб</w:t>
            </w:r>
            <w:r>
              <w:rPr>
                <w:spacing w:val="-8"/>
                <w:sz w:val="20"/>
                <w:szCs w:val="20"/>
              </w:rPr>
              <w:t>ря</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ноября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ноября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декабря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декабря</w:t>
            </w:r>
          </w:p>
        </w:tc>
        <w:tc>
          <w:tcPr>
            <w:tcW w:w="494" w:type="dxa"/>
          </w:tcPr>
          <w:p>
            <w:pPr>
              <w:pStyle w:val="249"/>
              <w:ind w:left="0"/>
              <w:jc w:val="center"/>
              <w:rPr>
                <w:spacing w:val="-8"/>
                <w:sz w:val="20"/>
                <w:szCs w:val="20"/>
              </w:rPr>
            </w:pPr>
            <w:r>
              <w:rPr>
                <w:spacing w:val="-8"/>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151" w:type="dxa"/>
            <w:vMerge w:val="restart"/>
          </w:tcPr>
          <w:p>
            <w:pPr>
              <w:pStyle w:val="249"/>
              <w:ind w:right="27"/>
              <w:rPr>
                <w:sz w:val="20"/>
                <w:szCs w:val="20"/>
                <w:lang w:val="ru-RU"/>
              </w:rPr>
            </w:pPr>
            <w:r>
              <w:rPr>
                <w:sz w:val="20"/>
                <w:szCs w:val="20"/>
                <w:lang w:val="ru-RU"/>
              </w:rPr>
              <w:t>Налог, удержанный по ставке 13% с налоговой базы резидента РФ в пределах 5 млн руб.</w:t>
            </w:r>
          </w:p>
        </w:tc>
        <w:tc>
          <w:tcPr>
            <w:tcW w:w="1134" w:type="dxa"/>
          </w:tcPr>
          <w:p>
            <w:pPr>
              <w:pStyle w:val="249"/>
              <w:rPr>
                <w:sz w:val="20"/>
                <w:szCs w:val="20"/>
              </w:rPr>
            </w:pPr>
            <w:r>
              <w:rPr>
                <w:sz w:val="20"/>
                <w:szCs w:val="20"/>
              </w:rPr>
              <w:t>Сумма</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151" w:type="dxa"/>
            <w:vMerge w:val="continue"/>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удержания</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2151" w:type="dxa"/>
            <w:vMerge w:val="restart"/>
          </w:tcPr>
          <w:p>
            <w:pPr>
              <w:pStyle w:val="249"/>
              <w:ind w:right="27"/>
              <w:rPr>
                <w:sz w:val="20"/>
                <w:szCs w:val="20"/>
                <w:lang w:val="ru-RU"/>
              </w:rPr>
            </w:pPr>
            <w:r>
              <w:rPr>
                <w:sz w:val="20"/>
                <w:szCs w:val="20"/>
                <w:lang w:val="ru-RU"/>
              </w:rPr>
              <w:t>Налог, удержанный по ставке 15% с части налоговой базы резидента РФ, превышающей 5 млн руб.</w:t>
            </w:r>
          </w:p>
        </w:tc>
        <w:tc>
          <w:tcPr>
            <w:tcW w:w="1134" w:type="dxa"/>
          </w:tcPr>
          <w:p>
            <w:pPr>
              <w:pStyle w:val="249"/>
              <w:rPr>
                <w:sz w:val="20"/>
                <w:szCs w:val="20"/>
              </w:rPr>
            </w:pPr>
            <w:r>
              <w:rPr>
                <w:sz w:val="20"/>
                <w:szCs w:val="20"/>
              </w:rPr>
              <w:t>Сумма</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2151" w:type="dxa"/>
            <w:vMerge w:val="continue"/>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удержания</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restart"/>
          </w:tcPr>
          <w:p>
            <w:pPr>
              <w:pStyle w:val="249"/>
              <w:ind w:right="73"/>
              <w:rPr>
                <w:sz w:val="20"/>
                <w:szCs w:val="20"/>
                <w:lang w:val="ru-RU"/>
              </w:rPr>
            </w:pPr>
            <w:r>
              <w:rPr>
                <w:sz w:val="20"/>
                <w:szCs w:val="20"/>
                <w:lang w:val="ru-RU"/>
              </w:rPr>
              <w:t>Возвращенный налоговым агентом налог по ставке 13% с налоговой базы резидента РФ в пределах 5 млн руб.</w:t>
            </w:r>
          </w:p>
        </w:tc>
        <w:tc>
          <w:tcPr>
            <w:tcW w:w="1134" w:type="dxa"/>
          </w:tcPr>
          <w:p>
            <w:pPr>
              <w:pStyle w:val="249"/>
              <w:rPr>
                <w:sz w:val="20"/>
                <w:szCs w:val="20"/>
              </w:rPr>
            </w:pPr>
            <w:r>
              <w:rPr>
                <w:sz w:val="20"/>
                <w:szCs w:val="20"/>
              </w:rPr>
              <w:t>Сумма</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continue"/>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удержания</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2151" w:type="dxa"/>
            <w:vMerge w:val="restart"/>
          </w:tcPr>
          <w:p>
            <w:pPr>
              <w:pStyle w:val="249"/>
              <w:ind w:right="109"/>
              <w:rPr>
                <w:sz w:val="20"/>
                <w:szCs w:val="20"/>
                <w:lang w:val="ru-RU"/>
              </w:rPr>
            </w:pPr>
            <w:r>
              <w:rPr>
                <w:sz w:val="20"/>
                <w:szCs w:val="20"/>
                <w:lang w:val="ru-RU"/>
              </w:rPr>
              <w:t>Возвращенный налоговым агентом налог по ставке 15% с части налоговой базы резидента РФ, превышающей 5 млн руб.</w:t>
            </w:r>
          </w:p>
        </w:tc>
        <w:tc>
          <w:tcPr>
            <w:tcW w:w="1134" w:type="dxa"/>
          </w:tcPr>
          <w:p>
            <w:pPr>
              <w:pStyle w:val="249"/>
              <w:rPr>
                <w:sz w:val="20"/>
                <w:szCs w:val="20"/>
              </w:rPr>
            </w:pPr>
            <w:r>
              <w:rPr>
                <w:sz w:val="20"/>
                <w:szCs w:val="20"/>
              </w:rPr>
              <w:t>Сумма</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2151" w:type="dxa"/>
            <w:vMerge w:val="continue"/>
          </w:tcPr>
          <w:p>
            <w:pPr>
              <w:widowControl w:val="0"/>
              <w:autoSpaceDE w:val="0"/>
              <w:autoSpaceDN w:val="0"/>
              <w:spacing w:after="0" w:line="240" w:lineRule="auto"/>
              <w:rPr>
                <w:rFonts w:ascii="Times New Roman" w:hAnsi="Times New Roman"/>
                <w:sz w:val="20"/>
                <w:szCs w:val="20"/>
                <w:lang w:val="en-US"/>
              </w:rPr>
            </w:pPr>
          </w:p>
        </w:tc>
        <w:tc>
          <w:tcPr>
            <w:tcW w:w="1134" w:type="dxa"/>
          </w:tcPr>
          <w:p>
            <w:pPr>
              <w:pStyle w:val="249"/>
              <w:rPr>
                <w:sz w:val="20"/>
                <w:szCs w:val="20"/>
              </w:rPr>
            </w:pPr>
            <w:r>
              <w:rPr>
                <w:sz w:val="20"/>
                <w:szCs w:val="20"/>
              </w:rPr>
              <w:t>Дата удержания</w:t>
            </w: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3"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94" w:type="dxa"/>
            <w:vAlign w:val="center"/>
          </w:tcPr>
          <w:p>
            <w:pPr>
              <w:pStyle w:val="249"/>
              <w:ind w:left="2"/>
              <w:jc w:val="center"/>
              <w:rPr>
                <w:sz w:val="20"/>
                <w:szCs w:val="20"/>
              </w:rPr>
            </w:pPr>
            <w:r>
              <w:rPr>
                <w:w w:val="99"/>
                <w:sz w:val="20"/>
                <w:szCs w:val="20"/>
              </w:rPr>
              <w:t>X</w:t>
            </w:r>
          </w:p>
        </w:tc>
      </w:tr>
    </w:tbl>
    <w:p>
      <w:pPr>
        <w:spacing w:after="0" w:line="240" w:lineRule="auto"/>
        <w:rPr>
          <w:rFonts w:ascii="Times New Roman" w:hAnsi="Times New Roman"/>
        </w:rPr>
      </w:pPr>
    </w:p>
    <w:p>
      <w:pPr>
        <w:spacing w:after="0" w:line="240" w:lineRule="auto"/>
        <w:rPr>
          <w:rFonts w:ascii="Times New Roman" w:hAnsi="Times New Roman"/>
        </w:rPr>
        <w:sectPr>
          <w:pgSz w:w="16840" w:h="11910" w:orient="landscape"/>
          <w:pgMar w:top="567" w:right="567" w:bottom="567" w:left="567" w:header="397" w:footer="397" w:gutter="0"/>
          <w:cols w:space="720" w:num="1"/>
          <w:docGrid w:linePitch="299" w:charSpace="0"/>
        </w:sectPr>
      </w:pPr>
    </w:p>
    <w:p>
      <w:pPr>
        <w:tabs>
          <w:tab w:val="left" w:pos="851"/>
        </w:tabs>
        <w:spacing w:after="0" w:line="240" w:lineRule="auto"/>
        <w:rPr>
          <w:rFonts w:ascii="Times New Roman" w:hAnsi="Times New Roman"/>
          <w:b/>
          <w:sz w:val="24"/>
          <w:szCs w:val="24"/>
        </w:rPr>
      </w:pPr>
      <w:r>
        <w:rPr>
          <w:rFonts w:ascii="Times New Roman" w:hAnsi="Times New Roman"/>
          <w:b/>
          <w:sz w:val="24"/>
          <w:szCs w:val="24"/>
        </w:rPr>
        <w:t>3.3. Право на налоговые</w:t>
      </w:r>
      <w:r>
        <w:rPr>
          <w:rFonts w:ascii="Times New Roman" w:hAnsi="Times New Roman"/>
          <w:b/>
          <w:spacing w:val="12"/>
          <w:sz w:val="24"/>
          <w:szCs w:val="24"/>
        </w:rPr>
        <w:t xml:space="preserve"> </w:t>
      </w:r>
      <w:r>
        <w:rPr>
          <w:rFonts w:ascii="Times New Roman" w:hAnsi="Times New Roman"/>
          <w:b/>
          <w:sz w:val="24"/>
          <w:szCs w:val="24"/>
        </w:rPr>
        <w:t>вычеты:</w:t>
      </w:r>
    </w:p>
    <w:p>
      <w:pPr>
        <w:pStyle w:val="3"/>
        <w:spacing w:after="0" w:line="240" w:lineRule="auto"/>
        <w:rPr>
          <w:rFonts w:ascii="Times New Roman" w:hAnsi="Times New Roman"/>
          <w:b/>
          <w:sz w:val="24"/>
          <w:szCs w:val="24"/>
        </w:rPr>
      </w:pPr>
    </w:p>
    <w:p>
      <w:pPr>
        <w:pStyle w:val="3"/>
        <w:spacing w:after="0" w:line="240" w:lineRule="auto"/>
        <w:rPr>
          <w:rFonts w:ascii="Times New Roman" w:hAnsi="Times New Roman"/>
          <w:b/>
          <w:sz w:val="24"/>
          <w:szCs w:val="24"/>
        </w:rPr>
      </w:pPr>
      <w:r>
        <w:rPr>
          <w:rFonts w:ascii="Times New Roman" w:hAnsi="Times New Roman"/>
          <w:sz w:val="24"/>
          <w:szCs w:val="24"/>
        </w:rPr>
        <w:t>3.3.1. Стандартный вычет на налогоплательщика (пп. 1, 2, 2.1 п. 1 ст. 218 НК РФ):</w:t>
      </w:r>
    </w:p>
    <w:tbl>
      <w:tblPr>
        <w:tblStyle w:val="248"/>
        <w:tblW w:w="10773" w:type="dxa"/>
        <w:tblInd w:w="0" w:type="dxa"/>
        <w:tblLayout w:type="fixed"/>
        <w:tblCellMar>
          <w:top w:w="0" w:type="dxa"/>
          <w:left w:w="0" w:type="dxa"/>
          <w:bottom w:w="0" w:type="dxa"/>
          <w:right w:w="0" w:type="dxa"/>
        </w:tblCellMar>
      </w:tblPr>
      <w:tblGrid>
        <w:gridCol w:w="1142"/>
        <w:gridCol w:w="1276"/>
        <w:gridCol w:w="8355"/>
      </w:tblGrid>
      <w:tr>
        <w:tblPrEx>
          <w:tblLayout w:type="fixed"/>
          <w:tblCellMar>
            <w:top w:w="0" w:type="dxa"/>
            <w:left w:w="0" w:type="dxa"/>
            <w:bottom w:w="0" w:type="dxa"/>
            <w:right w:w="0" w:type="dxa"/>
          </w:tblCellMar>
        </w:tblPrEx>
        <w:trPr>
          <w:trHeight w:val="267" w:hRule="exact"/>
        </w:trPr>
        <w:tc>
          <w:tcPr>
            <w:tcW w:w="1142" w:type="dxa"/>
            <w:tcBorders>
              <w:bottom w:val="single" w:color="auto" w:sz="4" w:space="0"/>
            </w:tcBorders>
          </w:tcPr>
          <w:p>
            <w:pPr>
              <w:pStyle w:val="249"/>
              <w:ind w:left="38"/>
              <w:rPr>
                <w:sz w:val="24"/>
                <w:szCs w:val="24"/>
                <w:lang w:val="ru-RU"/>
              </w:rPr>
            </w:pPr>
          </w:p>
        </w:tc>
        <w:tc>
          <w:tcPr>
            <w:tcW w:w="1276" w:type="dxa"/>
          </w:tcPr>
          <w:p>
            <w:pPr>
              <w:pStyle w:val="249"/>
              <w:ind w:left="38"/>
              <w:jc w:val="center"/>
              <w:rPr>
                <w:sz w:val="24"/>
                <w:szCs w:val="24"/>
                <w:lang w:val="ru-RU"/>
              </w:rPr>
            </w:pPr>
            <w:r>
              <w:rPr>
                <w:sz w:val="24"/>
                <w:szCs w:val="24"/>
              </w:rPr>
              <w:t>основание:</w:t>
            </w:r>
          </w:p>
        </w:tc>
        <w:tc>
          <w:tcPr>
            <w:tcW w:w="8355" w:type="dxa"/>
            <w:tcBorders>
              <w:bottom w:val="single" w:color="auto" w:sz="4" w:space="0"/>
            </w:tcBorders>
          </w:tcPr>
          <w:p>
            <w:pPr>
              <w:pStyle w:val="249"/>
              <w:ind w:left="38"/>
              <w:rPr>
                <w:sz w:val="24"/>
                <w:szCs w:val="24"/>
                <w:lang w:val="ru-RU"/>
              </w:rPr>
            </w:pPr>
          </w:p>
        </w:tc>
      </w:tr>
      <w:tr>
        <w:tblPrEx>
          <w:tblLayout w:type="fixed"/>
          <w:tblCellMar>
            <w:top w:w="0" w:type="dxa"/>
            <w:left w:w="0" w:type="dxa"/>
            <w:bottom w:w="0" w:type="dxa"/>
            <w:right w:w="0" w:type="dxa"/>
          </w:tblCellMar>
        </w:tblPrEx>
        <w:trPr>
          <w:trHeight w:val="267" w:hRule="exact"/>
        </w:trPr>
        <w:tc>
          <w:tcPr>
            <w:tcW w:w="1142" w:type="dxa"/>
            <w:tcBorders>
              <w:top w:val="single" w:color="auto" w:sz="4" w:space="0"/>
            </w:tcBorders>
          </w:tcPr>
          <w:p>
            <w:pPr>
              <w:pStyle w:val="249"/>
              <w:ind w:left="0"/>
              <w:jc w:val="center"/>
              <w:rPr>
                <w:sz w:val="24"/>
                <w:szCs w:val="24"/>
                <w:lang w:val="ru-RU"/>
              </w:rPr>
            </w:pPr>
            <w:r>
              <w:rPr>
                <w:sz w:val="24"/>
                <w:szCs w:val="24"/>
                <w:lang w:val="ru-RU"/>
              </w:rPr>
              <w:t>(да/нет)</w:t>
            </w:r>
          </w:p>
        </w:tc>
        <w:tc>
          <w:tcPr>
            <w:tcW w:w="1276" w:type="dxa"/>
          </w:tcPr>
          <w:p>
            <w:pPr>
              <w:pStyle w:val="249"/>
              <w:ind w:left="38"/>
              <w:rPr>
                <w:sz w:val="24"/>
                <w:szCs w:val="24"/>
                <w:lang w:val="ru-RU"/>
              </w:rPr>
            </w:pPr>
          </w:p>
        </w:tc>
        <w:tc>
          <w:tcPr>
            <w:tcW w:w="8355" w:type="dxa"/>
            <w:tcBorders>
              <w:top w:val="single" w:color="auto" w:sz="4" w:space="0"/>
            </w:tcBorders>
          </w:tcPr>
          <w:p>
            <w:pPr>
              <w:pStyle w:val="249"/>
              <w:ind w:left="38"/>
              <w:rPr>
                <w:sz w:val="24"/>
                <w:szCs w:val="24"/>
                <w:lang w:val="ru-RU"/>
              </w:rPr>
            </w:pPr>
          </w:p>
        </w:tc>
      </w:tr>
    </w:tbl>
    <w:p>
      <w:pPr>
        <w:pStyle w:val="3"/>
        <w:spacing w:after="0" w:line="240" w:lineRule="auto"/>
        <w:rPr>
          <w:rFonts w:ascii="Times New Roman" w:hAnsi="Times New Roman"/>
          <w:b/>
          <w:sz w:val="24"/>
          <w:szCs w:val="24"/>
        </w:rPr>
      </w:pPr>
    </w:p>
    <w:tbl>
      <w:tblPr>
        <w:tblStyle w:val="30"/>
        <w:tblW w:w="10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9"/>
        <w:gridCol w:w="3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99" w:type="dxa"/>
          </w:tcPr>
          <w:p>
            <w:pPr>
              <w:pStyle w:val="3"/>
              <w:spacing w:after="0" w:line="240" w:lineRule="auto"/>
              <w:rPr>
                <w:rFonts w:ascii="Times New Roman" w:hAnsi="Times New Roman"/>
                <w:bCs/>
                <w:sz w:val="24"/>
                <w:szCs w:val="24"/>
              </w:rPr>
            </w:pPr>
            <w:r>
              <w:rPr>
                <w:rFonts w:ascii="Times New Roman" w:hAnsi="Times New Roman"/>
                <w:bCs/>
                <w:sz w:val="24"/>
                <w:szCs w:val="24"/>
              </w:rPr>
              <w:t>3.3.2. Стандартные вычеты на детей (пп. 4 п. 1 ст. 218 НК РФ):</w:t>
            </w:r>
          </w:p>
        </w:tc>
        <w:tc>
          <w:tcPr>
            <w:tcW w:w="3967" w:type="dxa"/>
            <w:tcBorders>
              <w:bottom w:val="single" w:color="auto" w:sz="4" w:space="0"/>
            </w:tcBorders>
          </w:tcPr>
          <w:p>
            <w:pPr>
              <w:pStyle w:val="3"/>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799" w:type="dxa"/>
          </w:tcPr>
          <w:p>
            <w:pPr>
              <w:pStyle w:val="3"/>
              <w:spacing w:after="0" w:line="240" w:lineRule="auto"/>
              <w:rPr>
                <w:rFonts w:ascii="Times New Roman" w:hAnsi="Times New Roman"/>
                <w:b/>
                <w:sz w:val="24"/>
                <w:szCs w:val="24"/>
              </w:rPr>
            </w:pPr>
          </w:p>
        </w:tc>
        <w:tc>
          <w:tcPr>
            <w:tcW w:w="3967" w:type="dxa"/>
            <w:tcBorders>
              <w:top w:val="single" w:color="auto" w:sz="4" w:space="0"/>
            </w:tcBorders>
          </w:tcPr>
          <w:p>
            <w:pPr>
              <w:pStyle w:val="3"/>
              <w:spacing w:after="0" w:line="240" w:lineRule="auto"/>
              <w:jc w:val="center"/>
              <w:rPr>
                <w:rFonts w:ascii="Times New Roman" w:hAnsi="Times New Roman"/>
                <w:bCs/>
                <w:sz w:val="24"/>
                <w:szCs w:val="24"/>
              </w:rPr>
            </w:pPr>
            <w:r>
              <w:rPr>
                <w:rFonts w:ascii="Times New Roman" w:hAnsi="Times New Roman"/>
                <w:bCs/>
                <w:sz w:val="24"/>
                <w:szCs w:val="24"/>
              </w:rPr>
              <w:t>(да/нет)</w:t>
            </w:r>
          </w:p>
        </w:tc>
      </w:tr>
    </w:tbl>
    <w:p>
      <w:pPr>
        <w:pStyle w:val="3"/>
        <w:spacing w:after="0" w:line="240" w:lineRule="auto"/>
        <w:rPr>
          <w:rFonts w:ascii="Times New Roman" w:hAnsi="Times New Roman"/>
          <w:sz w:val="24"/>
          <w:szCs w:val="24"/>
        </w:rPr>
      </w:pPr>
    </w:p>
    <w:tbl>
      <w:tblPr>
        <w:tblStyle w:val="248"/>
        <w:tblW w:w="9643" w:type="dxa"/>
        <w:tblInd w:w="26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2"/>
        <w:gridCol w:w="2809"/>
        <w:gridCol w:w="1498"/>
        <w:gridCol w:w="1404"/>
        <w:gridCol w:w="33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562" w:type="dxa"/>
          </w:tcPr>
          <w:p>
            <w:pPr>
              <w:pStyle w:val="249"/>
              <w:ind w:left="0"/>
              <w:jc w:val="center"/>
              <w:rPr>
                <w:sz w:val="24"/>
                <w:szCs w:val="24"/>
                <w:lang w:val="ru-RU"/>
              </w:rPr>
            </w:pPr>
            <w:r>
              <w:rPr>
                <w:sz w:val="24"/>
                <w:szCs w:val="24"/>
                <w:lang w:val="ru-RU"/>
              </w:rPr>
              <w:t>№</w:t>
            </w:r>
          </w:p>
        </w:tc>
        <w:tc>
          <w:tcPr>
            <w:tcW w:w="2809" w:type="dxa"/>
          </w:tcPr>
          <w:p>
            <w:pPr>
              <w:pStyle w:val="249"/>
              <w:ind w:left="0"/>
              <w:jc w:val="center"/>
              <w:rPr>
                <w:sz w:val="24"/>
                <w:szCs w:val="24"/>
                <w:lang w:val="ru-RU"/>
              </w:rPr>
            </w:pPr>
            <w:r>
              <w:rPr>
                <w:sz w:val="24"/>
                <w:szCs w:val="24"/>
                <w:lang w:val="ru-RU"/>
              </w:rPr>
              <w:t>Ф.И.О. ребенка, дата рождения</w:t>
            </w:r>
          </w:p>
        </w:tc>
        <w:tc>
          <w:tcPr>
            <w:tcW w:w="1498" w:type="dxa"/>
          </w:tcPr>
          <w:p>
            <w:pPr>
              <w:pStyle w:val="249"/>
              <w:ind w:left="0"/>
              <w:jc w:val="center"/>
              <w:rPr>
                <w:sz w:val="24"/>
                <w:szCs w:val="24"/>
              </w:rPr>
            </w:pPr>
            <w:r>
              <w:rPr>
                <w:sz w:val="24"/>
                <w:szCs w:val="24"/>
              </w:rPr>
              <w:t>Код вычета</w:t>
            </w:r>
          </w:p>
        </w:tc>
        <w:tc>
          <w:tcPr>
            <w:tcW w:w="1404" w:type="dxa"/>
          </w:tcPr>
          <w:p>
            <w:pPr>
              <w:pStyle w:val="249"/>
              <w:ind w:left="0"/>
              <w:jc w:val="center"/>
              <w:rPr>
                <w:sz w:val="24"/>
                <w:szCs w:val="24"/>
              </w:rPr>
            </w:pPr>
            <w:r>
              <w:rPr>
                <w:sz w:val="24"/>
                <w:szCs w:val="24"/>
              </w:rPr>
              <w:t>Размер вычета</w:t>
            </w:r>
          </w:p>
        </w:tc>
        <w:tc>
          <w:tcPr>
            <w:tcW w:w="3370" w:type="dxa"/>
          </w:tcPr>
          <w:p>
            <w:pPr>
              <w:pStyle w:val="249"/>
              <w:ind w:left="0"/>
              <w:jc w:val="center"/>
              <w:rPr>
                <w:sz w:val="24"/>
                <w:szCs w:val="24"/>
                <w:lang w:val="ru-RU"/>
              </w:rPr>
            </w:pPr>
            <w:r>
              <w:rPr>
                <w:sz w:val="24"/>
                <w:szCs w:val="24"/>
                <w:lang w:val="ru-RU"/>
              </w:rPr>
              <w:t>Документы, подтверждающие право на вычет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exact"/>
        </w:trPr>
        <w:tc>
          <w:tcPr>
            <w:tcW w:w="562" w:type="dxa"/>
          </w:tcPr>
          <w:p>
            <w:pPr>
              <w:widowControl w:val="0"/>
              <w:autoSpaceDE w:val="0"/>
              <w:autoSpaceDN w:val="0"/>
              <w:spacing w:after="0" w:line="240" w:lineRule="auto"/>
              <w:rPr>
                <w:rFonts w:ascii="Times New Roman" w:hAnsi="Times New Roman"/>
                <w:sz w:val="24"/>
                <w:szCs w:val="24"/>
                <w:lang w:val="ru-RU"/>
              </w:rPr>
            </w:pPr>
          </w:p>
        </w:tc>
        <w:tc>
          <w:tcPr>
            <w:tcW w:w="2809" w:type="dxa"/>
          </w:tcPr>
          <w:p>
            <w:pPr>
              <w:widowControl w:val="0"/>
              <w:autoSpaceDE w:val="0"/>
              <w:autoSpaceDN w:val="0"/>
              <w:spacing w:after="0" w:line="240" w:lineRule="auto"/>
              <w:rPr>
                <w:rFonts w:ascii="Times New Roman" w:hAnsi="Times New Roman"/>
                <w:sz w:val="24"/>
                <w:szCs w:val="24"/>
                <w:lang w:val="ru-RU"/>
              </w:rPr>
            </w:pPr>
          </w:p>
        </w:tc>
        <w:tc>
          <w:tcPr>
            <w:tcW w:w="1498" w:type="dxa"/>
          </w:tcPr>
          <w:p>
            <w:pPr>
              <w:widowControl w:val="0"/>
              <w:autoSpaceDE w:val="0"/>
              <w:autoSpaceDN w:val="0"/>
              <w:spacing w:after="0" w:line="240" w:lineRule="auto"/>
              <w:rPr>
                <w:rFonts w:ascii="Times New Roman" w:hAnsi="Times New Roman"/>
                <w:sz w:val="24"/>
                <w:szCs w:val="24"/>
                <w:lang w:val="ru-RU"/>
              </w:rPr>
            </w:pPr>
          </w:p>
        </w:tc>
        <w:tc>
          <w:tcPr>
            <w:tcW w:w="1404" w:type="dxa"/>
          </w:tcPr>
          <w:p>
            <w:pPr>
              <w:widowControl w:val="0"/>
              <w:autoSpaceDE w:val="0"/>
              <w:autoSpaceDN w:val="0"/>
              <w:spacing w:after="0" w:line="240" w:lineRule="auto"/>
              <w:rPr>
                <w:rFonts w:ascii="Times New Roman" w:hAnsi="Times New Roman"/>
                <w:sz w:val="24"/>
                <w:szCs w:val="24"/>
                <w:lang w:val="ru-RU"/>
              </w:rPr>
            </w:pPr>
          </w:p>
        </w:tc>
        <w:tc>
          <w:tcPr>
            <w:tcW w:w="3370" w:type="dxa"/>
          </w:tcPr>
          <w:p>
            <w:pPr>
              <w:widowControl w:val="0"/>
              <w:autoSpaceDE w:val="0"/>
              <w:autoSpaceDN w:val="0"/>
              <w:spacing w:after="0" w:line="240" w:lineRule="auto"/>
              <w:rPr>
                <w:rFonts w:ascii="Times New Roman" w:hAnsi="Times New Roman"/>
                <w:sz w:val="24"/>
                <w:szCs w:val="24"/>
                <w:lang w:val="ru-RU"/>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exact"/>
        </w:trPr>
        <w:tc>
          <w:tcPr>
            <w:tcW w:w="562" w:type="dxa"/>
          </w:tcPr>
          <w:p>
            <w:pPr>
              <w:widowControl w:val="0"/>
              <w:autoSpaceDE w:val="0"/>
              <w:autoSpaceDN w:val="0"/>
              <w:spacing w:after="0" w:line="240" w:lineRule="auto"/>
              <w:rPr>
                <w:rFonts w:ascii="Times New Roman" w:hAnsi="Times New Roman"/>
                <w:sz w:val="24"/>
                <w:szCs w:val="24"/>
                <w:lang w:val="ru-RU"/>
              </w:rPr>
            </w:pPr>
          </w:p>
        </w:tc>
        <w:tc>
          <w:tcPr>
            <w:tcW w:w="2809" w:type="dxa"/>
          </w:tcPr>
          <w:p>
            <w:pPr>
              <w:widowControl w:val="0"/>
              <w:autoSpaceDE w:val="0"/>
              <w:autoSpaceDN w:val="0"/>
              <w:spacing w:after="0" w:line="240" w:lineRule="auto"/>
              <w:rPr>
                <w:rFonts w:ascii="Times New Roman" w:hAnsi="Times New Roman"/>
                <w:sz w:val="24"/>
                <w:szCs w:val="24"/>
                <w:lang w:val="ru-RU"/>
              </w:rPr>
            </w:pPr>
          </w:p>
        </w:tc>
        <w:tc>
          <w:tcPr>
            <w:tcW w:w="1498" w:type="dxa"/>
          </w:tcPr>
          <w:p>
            <w:pPr>
              <w:widowControl w:val="0"/>
              <w:autoSpaceDE w:val="0"/>
              <w:autoSpaceDN w:val="0"/>
              <w:spacing w:after="0" w:line="240" w:lineRule="auto"/>
              <w:rPr>
                <w:rFonts w:ascii="Times New Roman" w:hAnsi="Times New Roman"/>
                <w:sz w:val="24"/>
                <w:szCs w:val="24"/>
                <w:lang w:val="ru-RU"/>
              </w:rPr>
            </w:pPr>
          </w:p>
        </w:tc>
        <w:tc>
          <w:tcPr>
            <w:tcW w:w="1404" w:type="dxa"/>
          </w:tcPr>
          <w:p>
            <w:pPr>
              <w:widowControl w:val="0"/>
              <w:autoSpaceDE w:val="0"/>
              <w:autoSpaceDN w:val="0"/>
              <w:spacing w:after="0" w:line="240" w:lineRule="auto"/>
              <w:rPr>
                <w:rFonts w:ascii="Times New Roman" w:hAnsi="Times New Roman"/>
                <w:sz w:val="24"/>
                <w:szCs w:val="24"/>
                <w:lang w:val="ru-RU"/>
              </w:rPr>
            </w:pPr>
          </w:p>
        </w:tc>
        <w:tc>
          <w:tcPr>
            <w:tcW w:w="3370" w:type="dxa"/>
          </w:tcPr>
          <w:p>
            <w:pPr>
              <w:widowControl w:val="0"/>
              <w:autoSpaceDE w:val="0"/>
              <w:autoSpaceDN w:val="0"/>
              <w:spacing w:after="0" w:line="240" w:lineRule="auto"/>
              <w:rPr>
                <w:rFonts w:ascii="Times New Roman" w:hAnsi="Times New Roman"/>
                <w:sz w:val="24"/>
                <w:szCs w:val="24"/>
                <w:lang w:val="ru-RU"/>
              </w:rPr>
            </w:pPr>
          </w:p>
        </w:tc>
      </w:tr>
    </w:tbl>
    <w:p>
      <w:pPr>
        <w:pStyle w:val="3"/>
        <w:spacing w:after="0" w:line="240" w:lineRule="auto"/>
        <w:rPr>
          <w:rFonts w:ascii="Times New Roman" w:hAnsi="Times New Roman"/>
          <w:sz w:val="24"/>
          <w:szCs w:val="24"/>
        </w:rPr>
      </w:pPr>
    </w:p>
    <w:tbl>
      <w:tblPr>
        <w:tblStyle w:val="30"/>
        <w:tblW w:w="10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2410"/>
        <w:gridCol w:w="2404"/>
        <w:gridCol w:w="147"/>
        <w:gridCol w:w="3820"/>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 w:type="dxa"/>
        </w:trPr>
        <w:tc>
          <w:tcPr>
            <w:tcW w:w="6799" w:type="dxa"/>
            <w:gridSpan w:val="3"/>
          </w:tcPr>
          <w:p>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3.3.3. Право на социальные налоговые вычеты </w:t>
            </w:r>
            <w:r>
              <w:rPr>
                <w:rFonts w:ascii="Times New Roman" w:hAnsi="Times New Roman"/>
                <w:spacing w:val="-5"/>
                <w:sz w:val="24"/>
                <w:szCs w:val="24"/>
              </w:rPr>
              <w:t xml:space="preserve">(ст. </w:t>
            </w:r>
            <w:r>
              <w:rPr>
                <w:rFonts w:ascii="Times New Roman" w:hAnsi="Times New Roman"/>
                <w:sz w:val="24"/>
                <w:szCs w:val="24"/>
              </w:rPr>
              <w:t>219 НК</w:t>
            </w:r>
            <w:r>
              <w:rPr>
                <w:rFonts w:ascii="Times New Roman" w:hAnsi="Times New Roman"/>
                <w:spacing w:val="6"/>
                <w:sz w:val="24"/>
                <w:szCs w:val="24"/>
              </w:rPr>
              <w:t xml:space="preserve"> </w:t>
            </w:r>
            <w:r>
              <w:rPr>
                <w:rFonts w:ascii="Times New Roman" w:hAnsi="Times New Roman"/>
                <w:sz w:val="24"/>
                <w:szCs w:val="24"/>
              </w:rPr>
              <w:t>РФ):</w:t>
            </w:r>
          </w:p>
        </w:tc>
        <w:tc>
          <w:tcPr>
            <w:tcW w:w="3967" w:type="dxa"/>
            <w:gridSpan w:val="2"/>
            <w:tcBorders>
              <w:bottom w:val="single" w:color="auto" w:sz="4" w:space="0"/>
            </w:tcBorders>
          </w:tcPr>
          <w:p>
            <w:pPr>
              <w:pStyle w:val="3"/>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 w:type="dxa"/>
        </w:trPr>
        <w:tc>
          <w:tcPr>
            <w:tcW w:w="6799" w:type="dxa"/>
            <w:gridSpan w:val="3"/>
          </w:tcPr>
          <w:p>
            <w:pPr>
              <w:pStyle w:val="3"/>
              <w:spacing w:after="0" w:line="240" w:lineRule="auto"/>
              <w:rPr>
                <w:rFonts w:ascii="Times New Roman" w:hAnsi="Times New Roman"/>
                <w:b/>
                <w:sz w:val="24"/>
                <w:szCs w:val="24"/>
              </w:rPr>
            </w:pPr>
          </w:p>
        </w:tc>
        <w:tc>
          <w:tcPr>
            <w:tcW w:w="3967" w:type="dxa"/>
            <w:gridSpan w:val="2"/>
            <w:tcBorders>
              <w:top w:val="single" w:color="auto" w:sz="4" w:space="0"/>
            </w:tcBorders>
          </w:tcPr>
          <w:p>
            <w:pPr>
              <w:pStyle w:val="3"/>
              <w:spacing w:after="0" w:line="240" w:lineRule="auto"/>
              <w:jc w:val="center"/>
              <w:rPr>
                <w:rFonts w:ascii="Times New Roman" w:hAnsi="Times New Roman"/>
                <w:bCs/>
                <w:sz w:val="24"/>
                <w:szCs w:val="24"/>
              </w:rPr>
            </w:pPr>
            <w:r>
              <w:rPr>
                <w:rFonts w:ascii="Times New Roman" w:hAnsi="Times New Roman"/>
                <w:bCs/>
                <w:sz w:val="24"/>
                <w:szCs w:val="24"/>
              </w:rPr>
              <w:t>(да/нет)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85" w:type="dxa"/>
          </w:tcPr>
          <w:p>
            <w:pPr>
              <w:pStyle w:val="3"/>
              <w:spacing w:after="0" w:line="240" w:lineRule="auto"/>
              <w:rPr>
                <w:rFonts w:ascii="Times New Roman" w:hAnsi="Times New Roman"/>
                <w:sz w:val="24"/>
                <w:szCs w:val="24"/>
              </w:rPr>
            </w:pPr>
            <w:r>
              <w:rPr>
                <w:rFonts w:ascii="Times New Roman" w:hAnsi="Times New Roman"/>
                <w:sz w:val="24"/>
                <w:szCs w:val="24"/>
              </w:rPr>
              <w:t>Вид (код) вычета</w:t>
            </w:r>
          </w:p>
        </w:tc>
        <w:tc>
          <w:tcPr>
            <w:tcW w:w="8788" w:type="dxa"/>
            <w:gridSpan w:val="5"/>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85" w:type="dxa"/>
          </w:tcPr>
          <w:p>
            <w:pPr>
              <w:pStyle w:val="3"/>
              <w:spacing w:after="0" w:line="240" w:lineRule="auto"/>
              <w:rPr>
                <w:rFonts w:ascii="Times New Roman" w:hAnsi="Times New Roman"/>
                <w:sz w:val="24"/>
                <w:szCs w:val="24"/>
              </w:rPr>
            </w:pPr>
            <w:r>
              <w:rPr>
                <w:rFonts w:ascii="Times New Roman" w:hAnsi="Times New Roman"/>
                <w:sz w:val="24"/>
                <w:szCs w:val="24"/>
              </w:rPr>
              <w:t>Основание</w:t>
            </w:r>
          </w:p>
        </w:tc>
        <w:tc>
          <w:tcPr>
            <w:tcW w:w="8788" w:type="dxa"/>
            <w:gridSpan w:val="5"/>
            <w:tcBorders>
              <w:top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85" w:type="dxa"/>
          </w:tcPr>
          <w:p>
            <w:pPr>
              <w:pStyle w:val="3"/>
              <w:spacing w:after="0" w:line="240" w:lineRule="auto"/>
              <w:rPr>
                <w:rFonts w:ascii="Times New Roman" w:hAnsi="Times New Roman"/>
                <w:sz w:val="24"/>
                <w:szCs w:val="24"/>
              </w:rPr>
            </w:pPr>
            <w:r>
              <w:rPr>
                <w:rFonts w:ascii="Times New Roman" w:hAnsi="Times New Roman"/>
                <w:sz w:val="24"/>
                <w:szCs w:val="24"/>
              </w:rPr>
              <w:t>Номер уведомления</w:t>
            </w:r>
          </w:p>
        </w:tc>
        <w:tc>
          <w:tcPr>
            <w:tcW w:w="2410" w:type="dxa"/>
            <w:tcBorders>
              <w:top w:val="single" w:color="auto" w:sz="4" w:space="0"/>
              <w:bottom w:val="single" w:color="auto" w:sz="4" w:space="0"/>
            </w:tcBorders>
          </w:tcPr>
          <w:p>
            <w:pPr>
              <w:pStyle w:val="3"/>
              <w:spacing w:after="0" w:line="240" w:lineRule="auto"/>
              <w:rPr>
                <w:rFonts w:ascii="Times New Roman" w:hAnsi="Times New Roman"/>
                <w:sz w:val="24"/>
                <w:szCs w:val="24"/>
              </w:rPr>
            </w:pPr>
          </w:p>
        </w:tc>
        <w:tc>
          <w:tcPr>
            <w:tcW w:w="2551" w:type="dxa"/>
            <w:gridSpan w:val="2"/>
            <w:tcBorders>
              <w:top w:val="single" w:color="auto" w:sz="4" w:space="0"/>
            </w:tcBorders>
          </w:tcPr>
          <w:p>
            <w:pPr>
              <w:pStyle w:val="3"/>
              <w:spacing w:after="0" w:line="240" w:lineRule="auto"/>
              <w:rPr>
                <w:rFonts w:ascii="Times New Roman" w:hAnsi="Times New Roman"/>
                <w:sz w:val="24"/>
                <w:szCs w:val="24"/>
              </w:rPr>
            </w:pPr>
            <w:r>
              <w:rPr>
                <w:rFonts w:ascii="Times New Roman" w:hAnsi="Times New Roman"/>
                <w:sz w:val="24"/>
                <w:szCs w:val="24"/>
              </w:rPr>
              <w:t>Дата выдачи уведомления</w:t>
            </w:r>
          </w:p>
        </w:tc>
        <w:tc>
          <w:tcPr>
            <w:tcW w:w="3827" w:type="dxa"/>
            <w:gridSpan w:val="2"/>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95" w:type="dxa"/>
            <w:gridSpan w:val="2"/>
          </w:tcPr>
          <w:p>
            <w:pPr>
              <w:pStyle w:val="3"/>
              <w:spacing w:after="0" w:line="240" w:lineRule="auto"/>
              <w:rPr>
                <w:rFonts w:ascii="Times New Roman" w:hAnsi="Times New Roman"/>
                <w:sz w:val="24"/>
                <w:szCs w:val="24"/>
              </w:rPr>
            </w:pPr>
            <w:r>
              <w:rPr>
                <w:rFonts w:ascii="Times New Roman" w:hAnsi="Times New Roman"/>
                <w:sz w:val="24"/>
                <w:szCs w:val="24"/>
              </w:rPr>
              <w:t>Код налогового органа, выдавшего уведомление</w:t>
            </w:r>
          </w:p>
        </w:tc>
        <w:tc>
          <w:tcPr>
            <w:tcW w:w="6378" w:type="dxa"/>
            <w:gridSpan w:val="4"/>
            <w:tcBorders>
              <w:bottom w:val="single" w:color="auto" w:sz="4" w:space="0"/>
            </w:tcBorders>
          </w:tcPr>
          <w:p>
            <w:pPr>
              <w:pStyle w:val="3"/>
              <w:spacing w:after="0" w:line="240" w:lineRule="auto"/>
              <w:rPr>
                <w:rFonts w:ascii="Times New Roman" w:hAnsi="Times New Roman"/>
                <w:sz w:val="24"/>
                <w:szCs w:val="24"/>
              </w:rPr>
            </w:pPr>
          </w:p>
        </w:tc>
      </w:tr>
    </w:tbl>
    <w:p>
      <w:pPr>
        <w:pStyle w:val="3"/>
        <w:spacing w:after="0" w:line="240" w:lineRule="auto"/>
        <w:rPr>
          <w:rFonts w:ascii="Times New Roman" w:hAnsi="Times New Roman"/>
          <w:sz w:val="24"/>
          <w:szCs w:val="24"/>
        </w:rPr>
      </w:pPr>
    </w:p>
    <w:tbl>
      <w:tblPr>
        <w:tblStyle w:val="30"/>
        <w:tblW w:w="10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9"/>
        <w:gridCol w:w="3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99" w:type="dxa"/>
          </w:tcPr>
          <w:p>
            <w:pPr>
              <w:pStyle w:val="3"/>
              <w:spacing w:after="0" w:line="240" w:lineRule="auto"/>
              <w:rPr>
                <w:rFonts w:ascii="Times New Roman" w:hAnsi="Times New Roman"/>
                <w:bCs/>
                <w:sz w:val="24"/>
                <w:szCs w:val="24"/>
              </w:rPr>
            </w:pPr>
            <w:r>
              <w:rPr>
                <w:rFonts w:ascii="Times New Roman" w:hAnsi="Times New Roman"/>
                <w:bCs/>
                <w:sz w:val="24"/>
                <w:szCs w:val="24"/>
              </w:rPr>
              <w:t xml:space="preserve">3.3.4. </w:t>
            </w:r>
            <w:r>
              <w:rPr>
                <w:rFonts w:ascii="Times New Roman" w:hAnsi="Times New Roman"/>
                <w:sz w:val="24"/>
                <w:szCs w:val="24"/>
              </w:rPr>
              <w:t>Право на имущественные вычеты (ст. 220 НК РФ):</w:t>
            </w:r>
          </w:p>
        </w:tc>
        <w:tc>
          <w:tcPr>
            <w:tcW w:w="3967" w:type="dxa"/>
            <w:tcBorders>
              <w:bottom w:val="single" w:color="auto" w:sz="4" w:space="0"/>
            </w:tcBorders>
          </w:tcPr>
          <w:p>
            <w:pPr>
              <w:pStyle w:val="3"/>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99" w:type="dxa"/>
          </w:tcPr>
          <w:p>
            <w:pPr>
              <w:pStyle w:val="3"/>
              <w:spacing w:after="0" w:line="240" w:lineRule="auto"/>
              <w:rPr>
                <w:rFonts w:ascii="Times New Roman" w:hAnsi="Times New Roman"/>
                <w:b/>
                <w:sz w:val="24"/>
                <w:szCs w:val="24"/>
              </w:rPr>
            </w:pPr>
          </w:p>
        </w:tc>
        <w:tc>
          <w:tcPr>
            <w:tcW w:w="3967" w:type="dxa"/>
            <w:tcBorders>
              <w:top w:val="single" w:color="auto" w:sz="4" w:space="0"/>
            </w:tcBorders>
          </w:tcPr>
          <w:p>
            <w:pPr>
              <w:pStyle w:val="3"/>
              <w:spacing w:after="0" w:line="240" w:lineRule="auto"/>
              <w:jc w:val="center"/>
              <w:rPr>
                <w:rFonts w:ascii="Times New Roman" w:hAnsi="Times New Roman"/>
                <w:bCs/>
                <w:sz w:val="24"/>
                <w:szCs w:val="24"/>
              </w:rPr>
            </w:pPr>
            <w:r>
              <w:rPr>
                <w:rFonts w:ascii="Times New Roman" w:hAnsi="Times New Roman"/>
                <w:bCs/>
                <w:sz w:val="24"/>
                <w:szCs w:val="24"/>
              </w:rPr>
              <w:t>(да/нет)</w:t>
            </w:r>
          </w:p>
        </w:tc>
      </w:tr>
    </w:tbl>
    <w:p>
      <w:pPr>
        <w:pStyle w:val="3"/>
        <w:spacing w:after="0" w:line="240" w:lineRule="auto"/>
        <w:rPr>
          <w:rFonts w:ascii="Times New Roman" w:hAnsi="Times New Roman"/>
          <w:sz w:val="24"/>
          <w:szCs w:val="24"/>
        </w:rPr>
      </w:pPr>
    </w:p>
    <w:tbl>
      <w:tblPr>
        <w:tblStyle w:val="30"/>
        <w:tblW w:w="10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283"/>
        <w:gridCol w:w="1985"/>
        <w:gridCol w:w="850"/>
        <w:gridCol w:w="2126"/>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pStyle w:val="3"/>
              <w:spacing w:after="0" w:line="240" w:lineRule="auto"/>
              <w:rPr>
                <w:rFonts w:ascii="Times New Roman" w:hAnsi="Times New Roman"/>
                <w:sz w:val="24"/>
                <w:szCs w:val="24"/>
              </w:rPr>
            </w:pPr>
            <w:r>
              <w:rPr>
                <w:rFonts w:ascii="Times New Roman" w:hAnsi="Times New Roman"/>
                <w:sz w:val="24"/>
                <w:szCs w:val="24"/>
              </w:rPr>
              <w:t>Вид (код) вычета</w:t>
            </w:r>
          </w:p>
        </w:tc>
        <w:tc>
          <w:tcPr>
            <w:tcW w:w="8646" w:type="dxa"/>
            <w:gridSpan w:val="5"/>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pStyle w:val="3"/>
              <w:spacing w:after="0" w:line="240" w:lineRule="auto"/>
              <w:rPr>
                <w:rFonts w:ascii="Times New Roman" w:hAnsi="Times New Roman"/>
                <w:sz w:val="24"/>
                <w:szCs w:val="24"/>
              </w:rPr>
            </w:pPr>
            <w:r>
              <w:rPr>
                <w:rFonts w:ascii="Times New Roman" w:hAnsi="Times New Roman"/>
                <w:sz w:val="24"/>
                <w:szCs w:val="24"/>
              </w:rPr>
              <w:t>Основание</w:t>
            </w:r>
          </w:p>
        </w:tc>
        <w:tc>
          <w:tcPr>
            <w:tcW w:w="8646" w:type="dxa"/>
            <w:gridSpan w:val="5"/>
            <w:tcBorders>
              <w:top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10" w:type="dxa"/>
            <w:gridSpan w:val="2"/>
          </w:tcPr>
          <w:p>
            <w:pPr>
              <w:pStyle w:val="3"/>
              <w:spacing w:after="0" w:line="240" w:lineRule="auto"/>
              <w:rPr>
                <w:rFonts w:ascii="Times New Roman" w:hAnsi="Times New Roman"/>
                <w:sz w:val="24"/>
                <w:szCs w:val="24"/>
              </w:rPr>
            </w:pPr>
            <w:r>
              <w:rPr>
                <w:rFonts w:ascii="Times New Roman" w:hAnsi="Times New Roman"/>
                <w:sz w:val="24"/>
                <w:szCs w:val="24"/>
              </w:rPr>
              <w:t>Номер уведомления</w:t>
            </w:r>
          </w:p>
        </w:tc>
        <w:tc>
          <w:tcPr>
            <w:tcW w:w="1985" w:type="dxa"/>
            <w:tcBorders>
              <w:top w:val="single" w:color="auto" w:sz="4" w:space="0"/>
              <w:bottom w:val="single" w:color="auto" w:sz="4" w:space="0"/>
            </w:tcBorders>
          </w:tcPr>
          <w:p>
            <w:pPr>
              <w:pStyle w:val="3"/>
              <w:spacing w:after="0" w:line="240" w:lineRule="auto"/>
              <w:rPr>
                <w:rFonts w:ascii="Times New Roman" w:hAnsi="Times New Roman"/>
                <w:sz w:val="24"/>
                <w:szCs w:val="24"/>
              </w:rPr>
            </w:pPr>
          </w:p>
        </w:tc>
        <w:tc>
          <w:tcPr>
            <w:tcW w:w="2976" w:type="dxa"/>
            <w:gridSpan w:val="2"/>
            <w:tcBorders>
              <w:top w:val="single" w:color="auto" w:sz="4" w:space="0"/>
            </w:tcBorders>
          </w:tcPr>
          <w:p>
            <w:pPr>
              <w:pStyle w:val="3"/>
              <w:spacing w:after="0" w:line="240" w:lineRule="auto"/>
              <w:rPr>
                <w:rFonts w:ascii="Times New Roman" w:hAnsi="Times New Roman"/>
                <w:sz w:val="24"/>
                <w:szCs w:val="24"/>
              </w:rPr>
            </w:pPr>
            <w:r>
              <w:rPr>
                <w:rFonts w:ascii="Times New Roman" w:hAnsi="Times New Roman"/>
                <w:sz w:val="24"/>
                <w:szCs w:val="24"/>
              </w:rPr>
              <w:t>Дата выдачи уведомления</w:t>
            </w:r>
          </w:p>
        </w:tc>
        <w:tc>
          <w:tcPr>
            <w:tcW w:w="3402" w:type="dxa"/>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45" w:type="dxa"/>
            <w:gridSpan w:val="4"/>
          </w:tcPr>
          <w:p>
            <w:pPr>
              <w:pStyle w:val="3"/>
              <w:spacing w:after="0" w:line="240" w:lineRule="auto"/>
              <w:rPr>
                <w:rFonts w:ascii="Times New Roman" w:hAnsi="Times New Roman"/>
                <w:sz w:val="24"/>
                <w:szCs w:val="24"/>
              </w:rPr>
            </w:pPr>
            <w:r>
              <w:rPr>
                <w:rFonts w:ascii="Times New Roman" w:hAnsi="Times New Roman"/>
                <w:sz w:val="24"/>
                <w:szCs w:val="24"/>
              </w:rPr>
              <w:t>Код налогового органа, выдавшего уведомление</w:t>
            </w:r>
          </w:p>
        </w:tc>
        <w:tc>
          <w:tcPr>
            <w:tcW w:w="5528" w:type="dxa"/>
            <w:gridSpan w:val="2"/>
            <w:tcBorders>
              <w:bottom w:val="single" w:color="auto" w:sz="4" w:space="0"/>
            </w:tcBorders>
          </w:tcPr>
          <w:p>
            <w:pPr>
              <w:pStyle w:val="3"/>
              <w:spacing w:after="0" w:line="240" w:lineRule="auto"/>
              <w:rPr>
                <w:rFonts w:ascii="Times New Roman" w:hAnsi="Times New Roman"/>
                <w:sz w:val="24"/>
                <w:szCs w:val="24"/>
              </w:rPr>
            </w:pPr>
          </w:p>
        </w:tc>
      </w:tr>
    </w:tbl>
    <w:p>
      <w:pPr>
        <w:pStyle w:val="3"/>
        <w:spacing w:after="0" w:line="240" w:lineRule="auto"/>
        <w:rPr>
          <w:rFonts w:ascii="Times New Roman" w:hAnsi="Times New Roman"/>
          <w:sz w:val="24"/>
          <w:szCs w:val="24"/>
        </w:rPr>
      </w:pPr>
    </w:p>
    <w:tbl>
      <w:tblPr>
        <w:tblStyle w:val="30"/>
        <w:tblW w:w="10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647" w:type="dxa"/>
          </w:tcPr>
          <w:p>
            <w:pPr>
              <w:pStyle w:val="3"/>
              <w:spacing w:after="0" w:line="240" w:lineRule="auto"/>
              <w:rPr>
                <w:rFonts w:ascii="Times New Roman" w:hAnsi="Times New Roman"/>
                <w:sz w:val="24"/>
                <w:szCs w:val="24"/>
              </w:rPr>
            </w:pPr>
            <w:r>
              <w:rPr>
                <w:rFonts w:ascii="Times New Roman" w:hAnsi="Times New Roman"/>
                <w:bCs/>
                <w:sz w:val="24"/>
                <w:szCs w:val="24"/>
              </w:rPr>
              <w:t xml:space="preserve">3.3.5. </w:t>
            </w:r>
            <w:r>
              <w:rPr>
                <w:rFonts w:ascii="Times New Roman" w:hAnsi="Times New Roman"/>
                <w:sz w:val="24"/>
                <w:szCs w:val="24"/>
              </w:rPr>
              <w:t>Право на профессиональные налоговые вычеты (п. п. 2, 3 ст. 221 НК РФ):</w:t>
            </w:r>
          </w:p>
        </w:tc>
        <w:tc>
          <w:tcPr>
            <w:tcW w:w="2119" w:type="dxa"/>
            <w:tcBorders>
              <w:bottom w:val="single" w:color="auto" w:sz="4" w:space="0"/>
            </w:tcBorders>
          </w:tcPr>
          <w:p>
            <w:pPr>
              <w:pStyle w:val="3"/>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647" w:type="dxa"/>
          </w:tcPr>
          <w:p>
            <w:pPr>
              <w:pStyle w:val="3"/>
              <w:spacing w:after="0" w:line="240" w:lineRule="auto"/>
              <w:rPr>
                <w:rFonts w:ascii="Times New Roman" w:hAnsi="Times New Roman"/>
                <w:b/>
                <w:sz w:val="24"/>
                <w:szCs w:val="24"/>
              </w:rPr>
            </w:pPr>
          </w:p>
        </w:tc>
        <w:tc>
          <w:tcPr>
            <w:tcW w:w="2119" w:type="dxa"/>
            <w:tcBorders>
              <w:top w:val="single" w:color="auto" w:sz="4" w:space="0"/>
            </w:tcBorders>
          </w:tcPr>
          <w:p>
            <w:pPr>
              <w:pStyle w:val="3"/>
              <w:spacing w:after="0" w:line="240" w:lineRule="auto"/>
              <w:jc w:val="center"/>
              <w:rPr>
                <w:rFonts w:ascii="Times New Roman" w:hAnsi="Times New Roman"/>
                <w:bCs/>
                <w:sz w:val="24"/>
                <w:szCs w:val="24"/>
              </w:rPr>
            </w:pPr>
            <w:r>
              <w:rPr>
                <w:rFonts w:ascii="Times New Roman" w:hAnsi="Times New Roman"/>
                <w:bCs/>
                <w:sz w:val="24"/>
                <w:szCs w:val="24"/>
              </w:rPr>
              <w:t>(да/нет)</w:t>
            </w:r>
          </w:p>
        </w:tc>
      </w:tr>
    </w:tbl>
    <w:p>
      <w:pPr>
        <w:pStyle w:val="3"/>
        <w:spacing w:after="0" w:line="240" w:lineRule="auto"/>
        <w:rPr>
          <w:rFonts w:ascii="Times New Roman" w:hAnsi="Times New Roman"/>
          <w:sz w:val="24"/>
          <w:szCs w:val="24"/>
        </w:rPr>
      </w:pPr>
    </w:p>
    <w:tbl>
      <w:tblPr>
        <w:tblStyle w:val="30"/>
        <w:tblW w:w="10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8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85" w:type="dxa"/>
          </w:tcPr>
          <w:p>
            <w:pPr>
              <w:pStyle w:val="3"/>
              <w:spacing w:after="0" w:line="240" w:lineRule="auto"/>
              <w:rPr>
                <w:rFonts w:ascii="Times New Roman" w:hAnsi="Times New Roman"/>
                <w:sz w:val="24"/>
                <w:szCs w:val="24"/>
              </w:rPr>
            </w:pPr>
            <w:r>
              <w:rPr>
                <w:rFonts w:ascii="Times New Roman" w:hAnsi="Times New Roman"/>
                <w:sz w:val="24"/>
                <w:szCs w:val="24"/>
              </w:rPr>
              <w:t>Вид (код) вычета</w:t>
            </w:r>
          </w:p>
        </w:tc>
        <w:tc>
          <w:tcPr>
            <w:tcW w:w="8788" w:type="dxa"/>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85" w:type="dxa"/>
          </w:tcPr>
          <w:p>
            <w:pPr>
              <w:pStyle w:val="3"/>
              <w:spacing w:after="0" w:line="240" w:lineRule="auto"/>
              <w:rPr>
                <w:rFonts w:ascii="Times New Roman" w:hAnsi="Times New Roman"/>
                <w:sz w:val="24"/>
                <w:szCs w:val="24"/>
              </w:rPr>
            </w:pPr>
            <w:r>
              <w:rPr>
                <w:rFonts w:ascii="Times New Roman" w:hAnsi="Times New Roman"/>
                <w:sz w:val="24"/>
                <w:szCs w:val="24"/>
              </w:rPr>
              <w:t>Основание</w:t>
            </w:r>
          </w:p>
        </w:tc>
        <w:tc>
          <w:tcPr>
            <w:tcW w:w="8788" w:type="dxa"/>
            <w:tcBorders>
              <w:top w:val="single" w:color="auto" w:sz="4" w:space="0"/>
              <w:bottom w:val="single" w:color="auto" w:sz="4" w:space="0"/>
            </w:tcBorders>
          </w:tcPr>
          <w:p>
            <w:pPr>
              <w:pStyle w:val="3"/>
              <w:spacing w:after="0" w:line="240" w:lineRule="auto"/>
              <w:rPr>
                <w:rFonts w:ascii="Times New Roman" w:hAnsi="Times New Roman"/>
                <w:sz w:val="24"/>
                <w:szCs w:val="24"/>
              </w:rPr>
            </w:pPr>
          </w:p>
        </w:tc>
      </w:tr>
    </w:tbl>
    <w:p>
      <w:pPr>
        <w:pStyle w:val="3"/>
        <w:spacing w:after="0" w:line="240" w:lineRule="auto"/>
        <w:rPr>
          <w:rFonts w:ascii="Times New Roman" w:hAnsi="Times New Roman"/>
          <w:sz w:val="24"/>
          <w:szCs w:val="24"/>
        </w:rPr>
      </w:pPr>
    </w:p>
    <w:tbl>
      <w:tblPr>
        <w:tblStyle w:val="30"/>
        <w:tblW w:w="10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647" w:type="dxa"/>
          </w:tcPr>
          <w:p>
            <w:pPr>
              <w:pStyle w:val="3"/>
              <w:spacing w:after="0" w:line="240" w:lineRule="auto"/>
              <w:rPr>
                <w:rFonts w:ascii="Times New Roman" w:hAnsi="Times New Roman"/>
                <w:b/>
                <w:bCs/>
                <w:sz w:val="24"/>
                <w:szCs w:val="24"/>
              </w:rPr>
            </w:pPr>
            <w:r>
              <w:rPr>
                <w:rFonts w:ascii="Times New Roman" w:hAnsi="Times New Roman"/>
                <w:b/>
                <w:bCs/>
                <w:sz w:val="24"/>
                <w:szCs w:val="24"/>
              </w:rPr>
              <w:t>3.4. Фиксированный авансовый платеж по НДФЛ (п. 6 ст. 227.1 НК РФ)</w:t>
            </w:r>
          </w:p>
        </w:tc>
        <w:tc>
          <w:tcPr>
            <w:tcW w:w="2119" w:type="dxa"/>
            <w:tcBorders>
              <w:bottom w:val="single" w:color="auto" w:sz="4" w:space="0"/>
            </w:tcBorders>
          </w:tcPr>
          <w:p>
            <w:pPr>
              <w:pStyle w:val="3"/>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647" w:type="dxa"/>
          </w:tcPr>
          <w:p>
            <w:pPr>
              <w:pStyle w:val="3"/>
              <w:spacing w:after="0" w:line="240" w:lineRule="auto"/>
              <w:rPr>
                <w:rFonts w:ascii="Times New Roman" w:hAnsi="Times New Roman"/>
                <w:b/>
                <w:sz w:val="24"/>
                <w:szCs w:val="24"/>
              </w:rPr>
            </w:pPr>
          </w:p>
        </w:tc>
        <w:tc>
          <w:tcPr>
            <w:tcW w:w="2119" w:type="dxa"/>
            <w:tcBorders>
              <w:top w:val="single" w:color="auto" w:sz="4" w:space="0"/>
            </w:tcBorders>
          </w:tcPr>
          <w:p>
            <w:pPr>
              <w:pStyle w:val="3"/>
              <w:spacing w:after="0" w:line="240" w:lineRule="auto"/>
              <w:jc w:val="center"/>
              <w:rPr>
                <w:rFonts w:ascii="Times New Roman" w:hAnsi="Times New Roman"/>
                <w:bCs/>
                <w:sz w:val="24"/>
                <w:szCs w:val="24"/>
              </w:rPr>
            </w:pPr>
            <w:r>
              <w:rPr>
                <w:rFonts w:ascii="Times New Roman" w:hAnsi="Times New Roman"/>
                <w:bCs/>
                <w:sz w:val="24"/>
                <w:szCs w:val="24"/>
              </w:rPr>
              <w:t>(да/нет)</w:t>
            </w:r>
          </w:p>
        </w:tc>
      </w:tr>
    </w:tbl>
    <w:p>
      <w:pPr>
        <w:pStyle w:val="3"/>
        <w:spacing w:after="0" w:line="240" w:lineRule="auto"/>
        <w:rPr>
          <w:rFonts w:ascii="Times New Roman" w:hAnsi="Times New Roman"/>
          <w:sz w:val="24"/>
          <w:szCs w:val="24"/>
        </w:rPr>
      </w:pPr>
    </w:p>
    <w:tbl>
      <w:tblPr>
        <w:tblStyle w:val="30"/>
        <w:tblW w:w="10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709"/>
        <w:gridCol w:w="390"/>
        <w:gridCol w:w="886"/>
        <w:gridCol w:w="456"/>
        <w:gridCol w:w="282"/>
        <w:gridCol w:w="396"/>
        <w:gridCol w:w="425"/>
        <w:gridCol w:w="851"/>
        <w:gridCol w:w="1275"/>
        <w:gridCol w:w="426"/>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1" w:type="dxa"/>
          </w:tcPr>
          <w:p>
            <w:pPr>
              <w:pStyle w:val="3"/>
              <w:spacing w:after="0" w:line="240" w:lineRule="auto"/>
              <w:rPr>
                <w:rFonts w:ascii="Times New Roman" w:hAnsi="Times New Roman"/>
                <w:sz w:val="24"/>
                <w:szCs w:val="24"/>
              </w:rPr>
            </w:pPr>
            <w:r>
              <w:rPr>
                <w:rFonts w:ascii="Times New Roman" w:hAnsi="Times New Roman"/>
                <w:sz w:val="24"/>
                <w:szCs w:val="24"/>
              </w:rPr>
              <w:t>Патент серия</w:t>
            </w:r>
          </w:p>
        </w:tc>
        <w:tc>
          <w:tcPr>
            <w:tcW w:w="709" w:type="dxa"/>
            <w:tcBorders>
              <w:bottom w:val="single" w:color="auto" w:sz="4" w:space="0"/>
            </w:tcBorders>
          </w:tcPr>
          <w:p>
            <w:pPr>
              <w:pStyle w:val="3"/>
              <w:spacing w:after="0" w:line="240" w:lineRule="auto"/>
              <w:rPr>
                <w:rFonts w:ascii="Times New Roman" w:hAnsi="Times New Roman"/>
                <w:sz w:val="24"/>
                <w:szCs w:val="24"/>
              </w:rPr>
            </w:pPr>
          </w:p>
        </w:tc>
        <w:tc>
          <w:tcPr>
            <w:tcW w:w="390" w:type="dxa"/>
            <w:vAlign w:val="bottom"/>
          </w:tcPr>
          <w:p>
            <w:pPr>
              <w:pStyle w:val="3"/>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w="1342" w:type="dxa"/>
            <w:gridSpan w:val="2"/>
            <w:tcBorders>
              <w:bottom w:val="single" w:color="auto" w:sz="4" w:space="0"/>
            </w:tcBorders>
          </w:tcPr>
          <w:p>
            <w:pPr>
              <w:pStyle w:val="3"/>
              <w:spacing w:after="0" w:line="240" w:lineRule="auto"/>
              <w:rPr>
                <w:rFonts w:ascii="Times New Roman" w:hAnsi="Times New Roman"/>
                <w:sz w:val="24"/>
                <w:szCs w:val="24"/>
              </w:rPr>
            </w:pPr>
          </w:p>
        </w:tc>
        <w:tc>
          <w:tcPr>
            <w:tcW w:w="1954" w:type="dxa"/>
            <w:gridSpan w:val="4"/>
          </w:tcPr>
          <w:p>
            <w:pPr>
              <w:pStyle w:val="3"/>
              <w:spacing w:after="0" w:line="240" w:lineRule="auto"/>
              <w:rPr>
                <w:rFonts w:ascii="Times New Roman" w:hAnsi="Times New Roman"/>
                <w:sz w:val="24"/>
                <w:szCs w:val="24"/>
              </w:rPr>
            </w:pPr>
            <w:r>
              <w:rPr>
                <w:rFonts w:ascii="Times New Roman" w:hAnsi="Times New Roman"/>
                <w:sz w:val="24"/>
                <w:szCs w:val="24"/>
              </w:rPr>
              <w:t>период действия</w:t>
            </w:r>
          </w:p>
        </w:tc>
        <w:tc>
          <w:tcPr>
            <w:tcW w:w="4677" w:type="dxa"/>
            <w:gridSpan w:val="3"/>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10" w:type="dxa"/>
            <w:gridSpan w:val="2"/>
          </w:tcPr>
          <w:p>
            <w:pPr>
              <w:pStyle w:val="3"/>
              <w:spacing w:after="0" w:line="240" w:lineRule="auto"/>
              <w:rPr>
                <w:rFonts w:ascii="Times New Roman" w:hAnsi="Times New Roman"/>
                <w:sz w:val="24"/>
                <w:szCs w:val="24"/>
              </w:rPr>
            </w:pPr>
            <w:r>
              <w:rPr>
                <w:rFonts w:ascii="Times New Roman" w:hAnsi="Times New Roman"/>
                <w:sz w:val="24"/>
                <w:szCs w:val="24"/>
              </w:rPr>
              <w:t>Номер уведомления</w:t>
            </w:r>
          </w:p>
        </w:tc>
        <w:tc>
          <w:tcPr>
            <w:tcW w:w="2014" w:type="dxa"/>
            <w:gridSpan w:val="4"/>
            <w:tcBorders>
              <w:bottom w:val="single" w:color="auto" w:sz="4" w:space="0"/>
            </w:tcBorders>
          </w:tcPr>
          <w:p>
            <w:pPr>
              <w:pStyle w:val="3"/>
              <w:spacing w:after="0" w:line="240" w:lineRule="auto"/>
              <w:rPr>
                <w:rFonts w:ascii="Times New Roman" w:hAnsi="Times New Roman"/>
                <w:sz w:val="24"/>
                <w:szCs w:val="24"/>
              </w:rPr>
            </w:pPr>
          </w:p>
        </w:tc>
        <w:tc>
          <w:tcPr>
            <w:tcW w:w="2947" w:type="dxa"/>
            <w:gridSpan w:val="4"/>
          </w:tcPr>
          <w:p>
            <w:pPr>
              <w:pStyle w:val="3"/>
              <w:spacing w:after="0" w:line="240" w:lineRule="auto"/>
              <w:rPr>
                <w:rFonts w:ascii="Times New Roman" w:hAnsi="Times New Roman"/>
                <w:sz w:val="24"/>
                <w:szCs w:val="24"/>
              </w:rPr>
            </w:pPr>
            <w:r>
              <w:rPr>
                <w:rFonts w:ascii="Times New Roman" w:hAnsi="Times New Roman"/>
                <w:sz w:val="24"/>
                <w:szCs w:val="24"/>
              </w:rPr>
              <w:t>Дата выдачи уведомления</w:t>
            </w:r>
          </w:p>
        </w:tc>
        <w:tc>
          <w:tcPr>
            <w:tcW w:w="3402" w:type="dxa"/>
            <w:gridSpan w:val="2"/>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45" w:type="dxa"/>
            <w:gridSpan w:val="8"/>
          </w:tcPr>
          <w:p>
            <w:pPr>
              <w:pStyle w:val="3"/>
              <w:spacing w:after="0" w:line="240" w:lineRule="auto"/>
              <w:rPr>
                <w:rFonts w:ascii="Times New Roman" w:hAnsi="Times New Roman"/>
                <w:sz w:val="24"/>
                <w:szCs w:val="24"/>
              </w:rPr>
            </w:pPr>
            <w:r>
              <w:rPr>
                <w:rFonts w:ascii="Times New Roman" w:hAnsi="Times New Roman"/>
                <w:sz w:val="24"/>
                <w:szCs w:val="24"/>
              </w:rPr>
              <w:t>Код налогового органа, выдавшего уведомление</w:t>
            </w:r>
          </w:p>
        </w:tc>
        <w:tc>
          <w:tcPr>
            <w:tcW w:w="5528" w:type="dxa"/>
            <w:gridSpan w:val="4"/>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gridSpan w:val="7"/>
          </w:tcPr>
          <w:p>
            <w:pPr>
              <w:pStyle w:val="3"/>
              <w:spacing w:after="0" w:line="240" w:lineRule="auto"/>
              <w:rPr>
                <w:rFonts w:ascii="Times New Roman" w:hAnsi="Times New Roman"/>
                <w:sz w:val="24"/>
                <w:szCs w:val="24"/>
              </w:rPr>
            </w:pPr>
            <w:r>
              <w:rPr>
                <w:rFonts w:ascii="Times New Roman" w:hAnsi="Times New Roman"/>
                <w:sz w:val="24"/>
                <w:szCs w:val="24"/>
              </w:rPr>
              <w:t>Сумма фиксированного авансового платежа</w:t>
            </w:r>
          </w:p>
        </w:tc>
        <w:tc>
          <w:tcPr>
            <w:tcW w:w="5953" w:type="dxa"/>
            <w:gridSpan w:val="5"/>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797" w:type="dxa"/>
            <w:gridSpan w:val="11"/>
          </w:tcPr>
          <w:p>
            <w:pPr>
              <w:pStyle w:val="3"/>
              <w:spacing w:after="0" w:line="240" w:lineRule="auto"/>
              <w:rPr>
                <w:rFonts w:ascii="Times New Roman" w:hAnsi="Times New Roman"/>
                <w:sz w:val="24"/>
                <w:szCs w:val="24"/>
              </w:rPr>
            </w:pPr>
            <w:r>
              <w:rPr>
                <w:rFonts w:ascii="Times New Roman" w:hAnsi="Times New Roman"/>
                <w:sz w:val="24"/>
                <w:szCs w:val="24"/>
              </w:rPr>
              <w:t>Документ, подтверждающий уплату фиксированного авансового платежа</w:t>
            </w:r>
          </w:p>
        </w:tc>
        <w:tc>
          <w:tcPr>
            <w:tcW w:w="2976" w:type="dxa"/>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4"/>
          </w:tcPr>
          <w:p>
            <w:pPr>
              <w:pStyle w:val="3"/>
              <w:spacing w:after="0" w:line="240" w:lineRule="auto"/>
              <w:rPr>
                <w:rFonts w:ascii="Times New Roman" w:hAnsi="Times New Roman"/>
                <w:sz w:val="24"/>
                <w:szCs w:val="24"/>
              </w:rPr>
            </w:pPr>
            <w:r>
              <w:rPr>
                <w:rFonts w:ascii="Times New Roman" w:hAnsi="Times New Roman"/>
                <w:sz w:val="24"/>
                <w:szCs w:val="24"/>
              </w:rPr>
              <w:t>Заявление от налогоплательщика</w:t>
            </w:r>
          </w:p>
        </w:tc>
        <w:tc>
          <w:tcPr>
            <w:tcW w:w="7087" w:type="dxa"/>
            <w:gridSpan w:val="8"/>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4"/>
          </w:tcPr>
          <w:p>
            <w:pPr>
              <w:pStyle w:val="3"/>
              <w:spacing w:after="0" w:line="240" w:lineRule="auto"/>
              <w:rPr>
                <w:rFonts w:ascii="Times New Roman" w:hAnsi="Times New Roman"/>
                <w:sz w:val="24"/>
                <w:szCs w:val="24"/>
              </w:rPr>
            </w:pPr>
          </w:p>
        </w:tc>
        <w:tc>
          <w:tcPr>
            <w:tcW w:w="7087" w:type="dxa"/>
            <w:gridSpan w:val="8"/>
            <w:tcBorders>
              <w:top w:val="single" w:color="auto" w:sz="4" w:space="0"/>
            </w:tcBorders>
          </w:tcPr>
          <w:p>
            <w:pPr>
              <w:pStyle w:val="3"/>
              <w:spacing w:after="0" w:line="240" w:lineRule="auto"/>
              <w:jc w:val="center"/>
              <w:rPr>
                <w:rFonts w:ascii="Times New Roman" w:hAnsi="Times New Roman"/>
                <w:sz w:val="24"/>
                <w:szCs w:val="24"/>
              </w:rPr>
            </w:pPr>
            <w:r>
              <w:rPr>
                <w:rFonts w:ascii="Times New Roman" w:hAnsi="Times New Roman"/>
                <w:sz w:val="24"/>
                <w:szCs w:val="24"/>
              </w:rPr>
              <w:t>(дд.мм.гггг)</w:t>
            </w:r>
          </w:p>
        </w:tc>
      </w:tr>
    </w:tbl>
    <w:p>
      <w:pPr>
        <w:spacing w:after="0" w:line="240" w:lineRule="auto"/>
        <w:rPr>
          <w:rFonts w:ascii="Times New Roman" w:hAnsi="Times New Roman"/>
        </w:rPr>
      </w:pPr>
    </w:p>
    <w:p>
      <w:pPr>
        <w:spacing w:after="0" w:line="240" w:lineRule="auto"/>
        <w:rPr>
          <w:rFonts w:ascii="Times New Roman" w:hAnsi="Times New Roman"/>
        </w:rPr>
      </w:pPr>
    </w:p>
    <w:p>
      <w:pPr>
        <w:spacing w:after="0" w:line="240" w:lineRule="auto"/>
        <w:rPr>
          <w:rFonts w:ascii="Times New Roman" w:hAnsi="Times New Roman"/>
        </w:rPr>
        <w:sectPr>
          <w:pgSz w:w="11910" w:h="16840"/>
          <w:pgMar w:top="567" w:right="567" w:bottom="567" w:left="567" w:header="397" w:footer="720" w:gutter="0"/>
          <w:cols w:space="720" w:num="1"/>
          <w:docGrid w:linePitch="299" w:charSpace="0"/>
        </w:sectPr>
      </w:pPr>
    </w:p>
    <w:p>
      <w:pPr>
        <w:pStyle w:val="3"/>
        <w:spacing w:after="0" w:line="240" w:lineRule="auto"/>
        <w:jc w:val="both"/>
        <w:rPr>
          <w:rFonts w:ascii="Times New Roman" w:hAnsi="Times New Roman"/>
          <w:b/>
          <w:bCs/>
          <w:sz w:val="24"/>
          <w:szCs w:val="24"/>
        </w:rPr>
      </w:pPr>
      <w:r>
        <w:rPr>
          <w:rFonts w:ascii="Times New Roman" w:hAnsi="Times New Roman"/>
          <w:b/>
          <w:bCs/>
          <w:sz w:val="24"/>
          <w:szCs w:val="24"/>
        </w:rPr>
        <w:t>Раздел 4. Совокупность налоговых баз налогового нерезидента РФ, в отношении которой применяется ставка 30%, предусмотренная абз. 1 п. 3 ст. 224 НК РФ, и сумма налога</w:t>
      </w:r>
    </w:p>
    <w:p>
      <w:pPr>
        <w:spacing w:after="0" w:line="240" w:lineRule="auto"/>
        <w:rPr>
          <w:rFonts w:ascii="Times New Roman" w:hAnsi="Times New Roman"/>
          <w:b/>
          <w:sz w:val="24"/>
          <w:szCs w:val="24"/>
        </w:rPr>
      </w:pPr>
    </w:p>
    <w:p>
      <w:pPr>
        <w:tabs>
          <w:tab w:val="left" w:pos="414"/>
        </w:tabs>
        <w:spacing w:after="0" w:line="240" w:lineRule="auto"/>
        <w:rPr>
          <w:rFonts w:ascii="Times New Roman" w:hAnsi="Times New Roman"/>
          <w:b/>
          <w:sz w:val="24"/>
          <w:szCs w:val="24"/>
        </w:rPr>
      </w:pPr>
      <w:r>
        <w:rPr>
          <w:rFonts w:ascii="Times New Roman" w:hAnsi="Times New Roman"/>
          <w:b/>
          <w:sz w:val="24"/>
          <w:szCs w:val="24"/>
        </w:rPr>
        <w:t>4.1. Расчет налоговой базы и суммы налога:</w:t>
      </w:r>
    </w:p>
    <w:p>
      <w:pPr>
        <w:spacing w:after="0" w:line="240" w:lineRule="auto"/>
        <w:rPr>
          <w:rFonts w:ascii="Times New Roman" w:hAnsi="Times New Roman"/>
          <w:b/>
          <w:sz w:val="24"/>
          <w:szCs w:val="24"/>
        </w:rPr>
      </w:pPr>
    </w:p>
    <w:tbl>
      <w:tblPr>
        <w:tblStyle w:val="248"/>
        <w:tblW w:w="1547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2"/>
        <w:gridCol w:w="318"/>
        <w:gridCol w:w="1525"/>
        <w:gridCol w:w="1134"/>
        <w:gridCol w:w="861"/>
        <w:gridCol w:w="861"/>
        <w:gridCol w:w="862"/>
        <w:gridCol w:w="861"/>
        <w:gridCol w:w="861"/>
        <w:gridCol w:w="862"/>
        <w:gridCol w:w="861"/>
        <w:gridCol w:w="862"/>
        <w:gridCol w:w="861"/>
        <w:gridCol w:w="861"/>
        <w:gridCol w:w="862"/>
        <w:gridCol w:w="861"/>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4" w:hRule="exact"/>
        </w:trPr>
        <w:tc>
          <w:tcPr>
            <w:tcW w:w="4279" w:type="dxa"/>
            <w:gridSpan w:val="4"/>
          </w:tcPr>
          <w:p>
            <w:pPr>
              <w:pStyle w:val="249"/>
              <w:ind w:left="1451" w:right="1448"/>
              <w:jc w:val="center"/>
              <w:rPr>
                <w:sz w:val="20"/>
                <w:szCs w:val="20"/>
              </w:rPr>
            </w:pPr>
            <w:r>
              <w:rPr>
                <w:sz w:val="20"/>
                <w:szCs w:val="20"/>
              </w:rPr>
              <w:t>Показатель</w:t>
            </w:r>
          </w:p>
        </w:tc>
        <w:tc>
          <w:tcPr>
            <w:tcW w:w="861" w:type="dxa"/>
          </w:tcPr>
          <w:p>
            <w:pPr>
              <w:pStyle w:val="249"/>
              <w:ind w:left="71"/>
              <w:jc w:val="center"/>
              <w:rPr>
                <w:sz w:val="20"/>
                <w:szCs w:val="20"/>
              </w:rPr>
            </w:pPr>
            <w:r>
              <w:rPr>
                <w:sz w:val="20"/>
                <w:szCs w:val="20"/>
              </w:rPr>
              <w:t>Январь</w:t>
            </w:r>
          </w:p>
        </w:tc>
        <w:tc>
          <w:tcPr>
            <w:tcW w:w="861" w:type="dxa"/>
          </w:tcPr>
          <w:p>
            <w:pPr>
              <w:pStyle w:val="249"/>
              <w:ind w:left="67"/>
              <w:jc w:val="center"/>
              <w:rPr>
                <w:sz w:val="20"/>
                <w:szCs w:val="20"/>
              </w:rPr>
            </w:pPr>
            <w:r>
              <w:rPr>
                <w:sz w:val="20"/>
                <w:szCs w:val="20"/>
              </w:rPr>
              <w:t>Февраль</w:t>
            </w:r>
          </w:p>
        </w:tc>
        <w:tc>
          <w:tcPr>
            <w:tcW w:w="862" w:type="dxa"/>
          </w:tcPr>
          <w:p>
            <w:pPr>
              <w:pStyle w:val="249"/>
              <w:ind w:left="62"/>
              <w:jc w:val="center"/>
              <w:rPr>
                <w:sz w:val="20"/>
                <w:szCs w:val="20"/>
              </w:rPr>
            </w:pPr>
            <w:r>
              <w:rPr>
                <w:sz w:val="20"/>
                <w:szCs w:val="20"/>
              </w:rPr>
              <w:t>Март</w:t>
            </w:r>
          </w:p>
        </w:tc>
        <w:tc>
          <w:tcPr>
            <w:tcW w:w="861" w:type="dxa"/>
          </w:tcPr>
          <w:p>
            <w:pPr>
              <w:pStyle w:val="249"/>
              <w:ind w:left="35"/>
              <w:jc w:val="center"/>
              <w:rPr>
                <w:sz w:val="20"/>
                <w:szCs w:val="20"/>
              </w:rPr>
            </w:pPr>
            <w:r>
              <w:rPr>
                <w:sz w:val="20"/>
                <w:szCs w:val="20"/>
              </w:rPr>
              <w:t>Апрель</w:t>
            </w:r>
          </w:p>
        </w:tc>
        <w:tc>
          <w:tcPr>
            <w:tcW w:w="861" w:type="dxa"/>
          </w:tcPr>
          <w:p>
            <w:pPr>
              <w:pStyle w:val="249"/>
              <w:ind w:left="91"/>
              <w:jc w:val="center"/>
              <w:rPr>
                <w:sz w:val="20"/>
                <w:szCs w:val="20"/>
              </w:rPr>
            </w:pPr>
            <w:r>
              <w:rPr>
                <w:sz w:val="20"/>
                <w:szCs w:val="20"/>
              </w:rPr>
              <w:t>Май</w:t>
            </w:r>
          </w:p>
        </w:tc>
        <w:tc>
          <w:tcPr>
            <w:tcW w:w="862" w:type="dxa"/>
          </w:tcPr>
          <w:p>
            <w:pPr>
              <w:pStyle w:val="249"/>
              <w:ind w:left="83"/>
              <w:jc w:val="center"/>
              <w:rPr>
                <w:sz w:val="20"/>
                <w:szCs w:val="20"/>
              </w:rPr>
            </w:pPr>
            <w:r>
              <w:rPr>
                <w:sz w:val="20"/>
                <w:szCs w:val="20"/>
              </w:rPr>
              <w:t>Июнь</w:t>
            </w:r>
          </w:p>
        </w:tc>
        <w:tc>
          <w:tcPr>
            <w:tcW w:w="861" w:type="dxa"/>
          </w:tcPr>
          <w:p>
            <w:pPr>
              <w:pStyle w:val="249"/>
              <w:ind w:left="86"/>
              <w:jc w:val="center"/>
              <w:rPr>
                <w:sz w:val="20"/>
                <w:szCs w:val="20"/>
              </w:rPr>
            </w:pPr>
            <w:r>
              <w:rPr>
                <w:sz w:val="20"/>
                <w:szCs w:val="20"/>
              </w:rPr>
              <w:t>Июль</w:t>
            </w:r>
          </w:p>
        </w:tc>
        <w:tc>
          <w:tcPr>
            <w:tcW w:w="862" w:type="dxa"/>
          </w:tcPr>
          <w:p>
            <w:pPr>
              <w:pStyle w:val="249"/>
              <w:ind w:left="81"/>
              <w:jc w:val="center"/>
              <w:rPr>
                <w:sz w:val="20"/>
                <w:szCs w:val="20"/>
              </w:rPr>
            </w:pPr>
            <w:r>
              <w:rPr>
                <w:sz w:val="20"/>
                <w:szCs w:val="20"/>
              </w:rPr>
              <w:t>Август</w:t>
            </w:r>
          </w:p>
        </w:tc>
        <w:tc>
          <w:tcPr>
            <w:tcW w:w="861" w:type="dxa"/>
          </w:tcPr>
          <w:p>
            <w:pPr>
              <w:pStyle w:val="249"/>
              <w:ind w:left="71"/>
              <w:jc w:val="center"/>
              <w:rPr>
                <w:sz w:val="20"/>
                <w:szCs w:val="20"/>
              </w:rPr>
            </w:pPr>
            <w:r>
              <w:rPr>
                <w:sz w:val="20"/>
                <w:szCs w:val="20"/>
              </w:rPr>
              <w:t>Сентябрь</w:t>
            </w:r>
          </w:p>
        </w:tc>
        <w:tc>
          <w:tcPr>
            <w:tcW w:w="861" w:type="dxa"/>
          </w:tcPr>
          <w:p>
            <w:pPr>
              <w:pStyle w:val="249"/>
              <w:ind w:left="69"/>
              <w:jc w:val="center"/>
              <w:rPr>
                <w:sz w:val="20"/>
                <w:szCs w:val="20"/>
              </w:rPr>
            </w:pPr>
            <w:r>
              <w:rPr>
                <w:sz w:val="20"/>
                <w:szCs w:val="20"/>
              </w:rPr>
              <w:t>Октябрь</w:t>
            </w:r>
          </w:p>
        </w:tc>
        <w:tc>
          <w:tcPr>
            <w:tcW w:w="862" w:type="dxa"/>
          </w:tcPr>
          <w:p>
            <w:pPr>
              <w:pStyle w:val="249"/>
              <w:ind w:left="67"/>
              <w:jc w:val="center"/>
              <w:rPr>
                <w:sz w:val="20"/>
                <w:szCs w:val="20"/>
              </w:rPr>
            </w:pPr>
            <w:r>
              <w:rPr>
                <w:sz w:val="20"/>
                <w:szCs w:val="20"/>
              </w:rPr>
              <w:t>Ноябрь</w:t>
            </w:r>
          </w:p>
        </w:tc>
        <w:tc>
          <w:tcPr>
            <w:tcW w:w="861" w:type="dxa"/>
          </w:tcPr>
          <w:p>
            <w:pPr>
              <w:pStyle w:val="249"/>
              <w:ind w:left="72"/>
              <w:jc w:val="center"/>
              <w:rPr>
                <w:sz w:val="20"/>
                <w:szCs w:val="20"/>
              </w:rPr>
            </w:pPr>
            <w:r>
              <w:rPr>
                <w:sz w:val="20"/>
                <w:szCs w:val="20"/>
              </w:rPr>
              <w:t>Декабрь</w:t>
            </w:r>
          </w:p>
        </w:tc>
        <w:tc>
          <w:tcPr>
            <w:tcW w:w="862" w:type="dxa"/>
          </w:tcPr>
          <w:p>
            <w:pPr>
              <w:pStyle w:val="249"/>
              <w:ind w:left="8" w:right="4"/>
              <w:jc w:val="center"/>
              <w:rPr>
                <w:sz w:val="20"/>
                <w:szCs w:val="20"/>
              </w:rPr>
            </w:pPr>
            <w:r>
              <w:rPr>
                <w:sz w:val="20"/>
                <w:szCs w:val="20"/>
              </w:rPr>
              <w:t>Итого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4" w:hRule="atLeast"/>
        </w:trPr>
        <w:tc>
          <w:tcPr>
            <w:tcW w:w="1302" w:type="dxa"/>
            <w:vMerge w:val="restart"/>
            <w:vAlign w:val="center"/>
          </w:tcPr>
          <w:p>
            <w:pPr>
              <w:pStyle w:val="249"/>
              <w:ind w:right="239"/>
              <w:rPr>
                <w:sz w:val="20"/>
                <w:szCs w:val="20"/>
              </w:rPr>
            </w:pPr>
            <w:r>
              <w:rPr>
                <w:sz w:val="20"/>
                <w:szCs w:val="20"/>
              </w:rPr>
              <w:t xml:space="preserve">Вид </w:t>
            </w:r>
            <w:r>
              <w:rPr>
                <w:w w:val="95"/>
                <w:sz w:val="20"/>
                <w:szCs w:val="20"/>
              </w:rPr>
              <w:t xml:space="preserve">дохода/Код </w:t>
            </w:r>
            <w:r>
              <w:rPr>
                <w:sz w:val="20"/>
                <w:szCs w:val="20"/>
              </w:rPr>
              <w:t xml:space="preserve">дохода </w:t>
            </w:r>
            <w:r>
              <w:rPr>
                <w:b/>
                <w:bCs/>
                <w:sz w:val="20"/>
                <w:szCs w:val="20"/>
                <w:vertAlign w:val="superscript"/>
                <w:lang w:val="ru-RU"/>
              </w:rPr>
              <w:t>1</w:t>
            </w:r>
          </w:p>
        </w:tc>
        <w:tc>
          <w:tcPr>
            <w:tcW w:w="1843" w:type="dxa"/>
            <w:gridSpan w:val="2"/>
            <w:vMerge w:val="restart"/>
            <w:vAlign w:val="center"/>
          </w:tcPr>
          <w:p>
            <w:pPr>
              <w:pStyle w:val="249"/>
              <w:rPr>
                <w:sz w:val="20"/>
                <w:szCs w:val="20"/>
              </w:rPr>
            </w:pPr>
            <w:r>
              <w:rPr>
                <w:sz w:val="20"/>
                <w:szCs w:val="20"/>
              </w:rPr>
              <w:t>Зарплата/2000</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4"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2"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lang w:val="ru-RU"/>
              </w:rPr>
            </w:pPr>
            <w:r>
              <w:rPr>
                <w:sz w:val="20"/>
                <w:szCs w:val="20"/>
                <w:lang w:val="ru-RU"/>
              </w:rPr>
              <w:t>Премии за производственные результаты и иные подобные показатели/2002</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9"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rPr>
            </w:pPr>
            <w:r>
              <w:rPr>
                <w:sz w:val="20"/>
                <w:szCs w:val="20"/>
              </w:rPr>
              <w:t>Отпускные/2012</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1"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4"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rPr>
            </w:pPr>
            <w:r>
              <w:rPr>
                <w:sz w:val="20"/>
                <w:szCs w:val="20"/>
              </w:rPr>
              <w:t xml:space="preserve">Компенсация за </w:t>
            </w:r>
            <w:r>
              <w:rPr>
                <w:w w:val="95"/>
                <w:sz w:val="20"/>
                <w:szCs w:val="20"/>
              </w:rPr>
              <w:t xml:space="preserve">неиспользованный </w:t>
            </w:r>
            <w:r>
              <w:rPr>
                <w:sz w:val="20"/>
                <w:szCs w:val="20"/>
              </w:rPr>
              <w:t>отпуск/2013</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4"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rPr>
            </w:pPr>
            <w:r>
              <w:rPr>
                <w:sz w:val="20"/>
                <w:szCs w:val="20"/>
              </w:rPr>
              <w:t>Сверхнормативные</w:t>
            </w:r>
            <w:r>
              <w:rPr>
                <w:sz w:val="20"/>
                <w:szCs w:val="20"/>
                <w:lang w:val="ru-RU"/>
              </w:rPr>
              <w:t xml:space="preserve"> </w:t>
            </w:r>
            <w:r>
              <w:rPr>
                <w:sz w:val="20"/>
                <w:szCs w:val="20"/>
              </w:rPr>
              <w:t>суточные/2015</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rPr>
            </w:pPr>
            <w:r>
              <w:rPr>
                <w:sz w:val="20"/>
                <w:szCs w:val="20"/>
              </w:rPr>
              <w:t>Пособие по временной</w:t>
            </w:r>
            <w:r>
              <w:rPr>
                <w:sz w:val="20"/>
                <w:szCs w:val="20"/>
                <w:lang w:val="ru-RU"/>
              </w:rPr>
              <w:t xml:space="preserve"> </w:t>
            </w:r>
            <w:r>
              <w:rPr>
                <w:sz w:val="20"/>
                <w:szCs w:val="20"/>
              </w:rPr>
              <w:t>нетрудоспособности/2300</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restart"/>
            <w:vAlign w:val="center"/>
          </w:tcPr>
          <w:p>
            <w:pPr>
              <w:pStyle w:val="249"/>
              <w:rPr>
                <w:sz w:val="20"/>
                <w:szCs w:val="20"/>
              </w:rPr>
            </w:pPr>
            <w:r>
              <w:rPr>
                <w:sz w:val="20"/>
                <w:szCs w:val="20"/>
              </w:rPr>
              <w:t>Материальная</w:t>
            </w:r>
            <w:r>
              <w:rPr>
                <w:sz w:val="20"/>
                <w:szCs w:val="20"/>
                <w:lang w:val="ru-RU"/>
              </w:rPr>
              <w:t xml:space="preserve"> </w:t>
            </w:r>
            <w:r>
              <w:rPr>
                <w:sz w:val="20"/>
                <w:szCs w:val="20"/>
              </w:rPr>
              <w:t>помощь/2760</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 w:hRule="atLeast"/>
        </w:trPr>
        <w:tc>
          <w:tcPr>
            <w:tcW w:w="1302"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843"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bottom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r>
              <w:rPr>
                <w:rFonts w:ascii="Times New Roman" w:hAnsi="Times New Roman"/>
                <w:sz w:val="20"/>
                <w:szCs w:val="20"/>
                <w:lang w:val="en-US"/>
              </w:rPr>
              <w:t>Сумма</w:t>
            </w:r>
          </w:p>
        </w:tc>
        <w:tc>
          <w:tcPr>
            <w:tcW w:w="861" w:type="dxa"/>
            <w:tcBorders>
              <w:bottom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3145" w:type="dxa"/>
            <w:gridSpan w:val="3"/>
            <w:vMerge w:val="restart"/>
            <w:tcBorders>
              <w:right w:val="single" w:color="auto" w:sz="4" w:space="0"/>
            </w:tcBorders>
            <w:vAlign w:val="center"/>
          </w:tcPr>
          <w:p>
            <w:pPr>
              <w:pStyle w:val="249"/>
              <w:rPr>
                <w:sz w:val="20"/>
                <w:szCs w:val="20"/>
                <w:lang w:val="ru-RU"/>
              </w:rPr>
            </w:pPr>
            <w:r>
              <w:rPr>
                <w:sz w:val="20"/>
                <w:szCs w:val="20"/>
                <w:lang w:val="ru-RU"/>
              </w:rPr>
              <w:t xml:space="preserve">Вычеты в размерах, предусмотренных ст. 217 НК РФ </w:t>
            </w:r>
            <w:r>
              <w:rPr>
                <w:b/>
                <w:bCs/>
                <w:sz w:val="20"/>
                <w:szCs w:val="20"/>
                <w:vertAlign w:val="superscript"/>
                <w:lang w:val="ru-RU"/>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ind w:left="43"/>
              <w:rPr>
                <w:sz w:val="20"/>
                <w:szCs w:val="20"/>
                <w:lang w:val="ru-RU"/>
              </w:rPr>
            </w:pPr>
            <w:r>
              <w:rPr>
                <w:sz w:val="20"/>
                <w:szCs w:val="20"/>
              </w:rPr>
              <w:t>Код</w:t>
            </w:r>
            <w:r>
              <w:rPr>
                <w:sz w:val="20"/>
                <w:szCs w:val="20"/>
                <w:lang w:val="ru-RU"/>
              </w:rPr>
              <w:t xml:space="preserve"> </w:t>
            </w:r>
            <w:r>
              <w:rPr>
                <w:sz w:val="20"/>
                <w:szCs w:val="20"/>
                <w:u w:val="single"/>
                <w:lang w:val="ru-RU"/>
              </w:rPr>
              <w:t>503</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atLeast"/>
        </w:trPr>
        <w:tc>
          <w:tcPr>
            <w:tcW w:w="3145" w:type="dxa"/>
            <w:gridSpan w:val="3"/>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tabs>
                <w:tab w:val="left" w:pos="1018"/>
              </w:tabs>
              <w:ind w:left="43"/>
              <w:rPr>
                <w:sz w:val="20"/>
                <w:szCs w:val="20"/>
              </w:rPr>
            </w:pPr>
            <w:r>
              <w:rPr>
                <w:sz w:val="20"/>
                <w:szCs w:val="20"/>
              </w:rPr>
              <w:t>Код</w:t>
            </w:r>
            <w:r>
              <w:rPr>
                <w:sz w:val="20"/>
                <w:szCs w:val="20"/>
                <w:lang w:val="ru-RU"/>
              </w:rPr>
              <w:t xml:space="preserve"> ______</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 w:hRule="atLeast"/>
        </w:trPr>
        <w:tc>
          <w:tcPr>
            <w:tcW w:w="3145" w:type="dxa"/>
            <w:gridSpan w:val="3"/>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ind w:left="43"/>
              <w:rPr>
                <w:sz w:val="20"/>
                <w:szCs w:val="20"/>
              </w:rPr>
            </w:pPr>
            <w:r>
              <w:rPr>
                <w:sz w:val="20"/>
                <w:szCs w:val="20"/>
              </w:rPr>
              <w:t>Код</w:t>
            </w:r>
            <w:r>
              <w:rPr>
                <w:sz w:val="20"/>
                <w:szCs w:val="20"/>
                <w:lang w:val="ru-RU"/>
              </w:rPr>
              <w:t xml:space="preserve"> ______</w:t>
            </w:r>
          </w:p>
        </w:tc>
        <w:tc>
          <w:tcPr>
            <w:tcW w:w="86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0" w:hRule="atLeast"/>
        </w:trPr>
        <w:tc>
          <w:tcPr>
            <w:tcW w:w="3145" w:type="dxa"/>
            <w:gridSpan w:val="3"/>
            <w:vMerge w:val="restart"/>
            <w:vAlign w:val="center"/>
          </w:tcPr>
          <w:p>
            <w:pPr>
              <w:pStyle w:val="249"/>
              <w:rPr>
                <w:sz w:val="20"/>
                <w:szCs w:val="20"/>
                <w:lang w:val="ru-RU"/>
              </w:rPr>
            </w:pPr>
            <w:r>
              <w:rPr>
                <w:sz w:val="20"/>
                <w:szCs w:val="20"/>
                <w:lang w:val="ru-RU"/>
              </w:rPr>
              <w:t>Общая сумма доходов за минусом вычетов, предусмотренных ст. 217 НК РФ</w:t>
            </w:r>
          </w:p>
        </w:tc>
        <w:tc>
          <w:tcPr>
            <w:tcW w:w="1134" w:type="dxa"/>
            <w:tcBorders>
              <w:top w:val="single" w:color="auto" w:sz="4" w:space="0"/>
            </w:tcBorders>
            <w:vAlign w:val="center"/>
          </w:tcPr>
          <w:p>
            <w:pPr>
              <w:pStyle w:val="249"/>
              <w:ind w:left="43"/>
              <w:rPr>
                <w:sz w:val="20"/>
                <w:szCs w:val="20"/>
                <w:lang w:val="ru-RU"/>
              </w:rPr>
            </w:pPr>
            <w:r>
              <w:rPr>
                <w:sz w:val="20"/>
                <w:szCs w:val="20"/>
                <w:lang w:val="ru-RU"/>
              </w:rPr>
              <w:t>За период, указанный в графе таблицы</w:t>
            </w:r>
          </w:p>
        </w:tc>
        <w:tc>
          <w:tcPr>
            <w:tcW w:w="861" w:type="dxa"/>
            <w:tcBorders>
              <w:top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2" w:hRule="atLeast"/>
        </w:trPr>
        <w:tc>
          <w:tcPr>
            <w:tcW w:w="3145" w:type="dxa"/>
            <w:gridSpan w:val="3"/>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134" w:type="dxa"/>
            <w:vAlign w:val="center"/>
          </w:tcPr>
          <w:p>
            <w:pPr>
              <w:pStyle w:val="249"/>
              <w:ind w:left="43"/>
              <w:rPr>
                <w:sz w:val="20"/>
                <w:szCs w:val="20"/>
              </w:rPr>
            </w:pPr>
            <w:r>
              <w:rPr>
                <w:sz w:val="20"/>
                <w:szCs w:val="20"/>
              </w:rPr>
              <w:t>С начала года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0" w:hRule="atLeast"/>
        </w:trPr>
        <w:tc>
          <w:tcPr>
            <w:tcW w:w="3145" w:type="dxa"/>
            <w:gridSpan w:val="3"/>
            <w:vAlign w:val="center"/>
          </w:tcPr>
          <w:p>
            <w:pPr>
              <w:pStyle w:val="249"/>
              <w:rPr>
                <w:sz w:val="20"/>
                <w:szCs w:val="20"/>
                <w:lang w:val="ru-RU"/>
              </w:rPr>
            </w:pPr>
            <w:r>
              <w:rPr>
                <w:sz w:val="20"/>
                <w:szCs w:val="20"/>
                <w:lang w:val="ru-RU"/>
              </w:rPr>
              <w:t>Налоговая база (с начала года) по доходам нерезидента РФ, указанным в пп. 8 п. 2.2 ст. 210 НК РФ</w:t>
            </w:r>
          </w:p>
        </w:tc>
        <w:tc>
          <w:tcPr>
            <w:tcW w:w="1134" w:type="dxa"/>
            <w:vAlign w:val="center"/>
          </w:tcPr>
          <w:p>
            <w:pPr>
              <w:pStyle w:val="249"/>
              <w:ind w:left="43"/>
              <w:rPr>
                <w:sz w:val="20"/>
                <w:szCs w:val="20"/>
              </w:rPr>
            </w:pPr>
            <w:r>
              <w:rPr>
                <w:sz w:val="20"/>
                <w:szCs w:val="20"/>
              </w:rPr>
              <w:t>Величина налоговой базы</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3" w:hRule="atLeast"/>
        </w:trPr>
        <w:tc>
          <w:tcPr>
            <w:tcW w:w="1620" w:type="dxa"/>
            <w:gridSpan w:val="2"/>
            <w:vMerge w:val="restart"/>
            <w:vAlign w:val="center"/>
          </w:tcPr>
          <w:p>
            <w:pPr>
              <w:pStyle w:val="249"/>
              <w:tabs>
                <w:tab w:val="left" w:pos="1399"/>
              </w:tabs>
              <w:ind w:right="53"/>
              <w:rPr>
                <w:sz w:val="20"/>
                <w:szCs w:val="20"/>
                <w:lang w:val="ru-RU"/>
              </w:rPr>
            </w:pPr>
            <w:r>
              <w:rPr>
                <w:sz w:val="20"/>
                <w:szCs w:val="20"/>
                <w:lang w:val="ru-RU"/>
              </w:rPr>
              <w:t>Налоговая база (с начала года), определяемая в соответствии</w:t>
            </w:r>
            <w:r>
              <w:rPr>
                <w:spacing w:val="-2"/>
                <w:sz w:val="20"/>
                <w:szCs w:val="20"/>
                <w:lang w:val="ru-RU"/>
              </w:rPr>
              <w:t xml:space="preserve"> </w:t>
            </w:r>
            <w:r>
              <w:rPr>
                <w:sz w:val="20"/>
                <w:szCs w:val="20"/>
                <w:lang w:val="ru-RU"/>
              </w:rPr>
              <w:t>с</w:t>
            </w:r>
            <w:r>
              <w:rPr>
                <w:spacing w:val="-1"/>
                <w:sz w:val="20"/>
                <w:szCs w:val="20"/>
                <w:lang w:val="ru-RU"/>
              </w:rPr>
              <w:t xml:space="preserve"> </w:t>
            </w:r>
            <w:r>
              <w:rPr>
                <w:sz w:val="20"/>
                <w:szCs w:val="20"/>
                <w:lang w:val="ru-RU"/>
              </w:rPr>
              <w:t>пп. ___ п.</w:t>
            </w:r>
            <w:r>
              <w:rPr>
                <w:w w:val="99"/>
                <w:sz w:val="20"/>
                <w:szCs w:val="20"/>
                <w:lang w:val="ru-RU"/>
              </w:rPr>
              <w:t xml:space="preserve"> </w:t>
            </w:r>
            <w:r>
              <w:rPr>
                <w:sz w:val="20"/>
                <w:szCs w:val="20"/>
                <w:lang w:val="ru-RU"/>
              </w:rPr>
              <w:t>2.2, п. 2.3 ст. 210 НК</w:t>
            </w:r>
            <w:r>
              <w:rPr>
                <w:spacing w:val="-5"/>
                <w:sz w:val="20"/>
                <w:szCs w:val="20"/>
                <w:lang w:val="ru-RU"/>
              </w:rPr>
              <w:t xml:space="preserve"> </w:t>
            </w:r>
            <w:r>
              <w:rPr>
                <w:sz w:val="20"/>
                <w:szCs w:val="20"/>
                <w:lang w:val="ru-RU"/>
              </w:rPr>
              <w:t xml:space="preserve">РФ </w:t>
            </w:r>
            <w:r>
              <w:rPr>
                <w:b/>
                <w:bCs/>
                <w:sz w:val="20"/>
                <w:szCs w:val="20"/>
                <w:vertAlign w:val="superscript"/>
                <w:lang w:val="ru-RU"/>
              </w:rPr>
              <w:t>3</w:t>
            </w:r>
          </w:p>
        </w:tc>
        <w:tc>
          <w:tcPr>
            <w:tcW w:w="1525" w:type="dxa"/>
            <w:vMerge w:val="restart"/>
            <w:vAlign w:val="center"/>
          </w:tcPr>
          <w:p>
            <w:pPr>
              <w:pStyle w:val="249"/>
              <w:rPr>
                <w:sz w:val="20"/>
                <w:szCs w:val="20"/>
                <w:lang w:val="ru-RU"/>
              </w:rPr>
            </w:pPr>
            <w:r>
              <w:rPr>
                <w:sz w:val="20"/>
                <w:szCs w:val="20"/>
              </w:rPr>
              <w:t>Доход/код</w:t>
            </w:r>
            <w:r>
              <w:rPr>
                <w:sz w:val="20"/>
                <w:szCs w:val="20"/>
                <w:lang w:val="ru-RU"/>
              </w:rPr>
              <w:t xml:space="preserve"> ____</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trPr>
        <w:tc>
          <w:tcPr>
            <w:tcW w:w="162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2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162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59" w:type="dxa"/>
            <w:gridSpan w:val="2"/>
            <w:vAlign w:val="center"/>
          </w:tcPr>
          <w:p>
            <w:pPr>
              <w:pStyle w:val="249"/>
              <w:rPr>
                <w:sz w:val="20"/>
                <w:szCs w:val="20"/>
              </w:rPr>
            </w:pPr>
            <w:r>
              <w:rPr>
                <w:sz w:val="20"/>
                <w:szCs w:val="20"/>
              </w:rPr>
              <w:t>Величина налоговой базы</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3" w:hRule="atLeast"/>
        </w:trPr>
        <w:tc>
          <w:tcPr>
            <w:tcW w:w="1620" w:type="dxa"/>
            <w:gridSpan w:val="2"/>
            <w:vMerge w:val="restart"/>
            <w:vAlign w:val="center"/>
          </w:tcPr>
          <w:p>
            <w:pPr>
              <w:pStyle w:val="249"/>
              <w:tabs>
                <w:tab w:val="left" w:pos="1399"/>
              </w:tabs>
              <w:ind w:right="53"/>
              <w:rPr>
                <w:sz w:val="20"/>
                <w:szCs w:val="20"/>
                <w:lang w:val="ru-RU"/>
              </w:rPr>
            </w:pPr>
            <w:r>
              <w:rPr>
                <w:sz w:val="20"/>
                <w:szCs w:val="20"/>
                <w:lang w:val="ru-RU"/>
              </w:rPr>
              <w:t>Налоговая база (с начала года), определяемая в соответствии</w:t>
            </w:r>
            <w:r>
              <w:rPr>
                <w:spacing w:val="-2"/>
                <w:sz w:val="20"/>
                <w:szCs w:val="20"/>
                <w:lang w:val="ru-RU"/>
              </w:rPr>
              <w:t xml:space="preserve"> </w:t>
            </w:r>
            <w:r>
              <w:rPr>
                <w:sz w:val="20"/>
                <w:szCs w:val="20"/>
                <w:lang w:val="ru-RU"/>
              </w:rPr>
              <w:t>с</w:t>
            </w:r>
            <w:r>
              <w:rPr>
                <w:spacing w:val="-1"/>
                <w:sz w:val="20"/>
                <w:szCs w:val="20"/>
                <w:lang w:val="ru-RU"/>
              </w:rPr>
              <w:t xml:space="preserve"> </w:t>
            </w:r>
            <w:r>
              <w:rPr>
                <w:sz w:val="20"/>
                <w:szCs w:val="20"/>
                <w:lang w:val="ru-RU"/>
              </w:rPr>
              <w:t>пп. ___ п.</w:t>
            </w:r>
            <w:r>
              <w:rPr>
                <w:w w:val="99"/>
                <w:sz w:val="20"/>
                <w:szCs w:val="20"/>
                <w:lang w:val="ru-RU"/>
              </w:rPr>
              <w:t xml:space="preserve"> </w:t>
            </w:r>
            <w:r>
              <w:rPr>
                <w:sz w:val="20"/>
                <w:szCs w:val="20"/>
                <w:lang w:val="ru-RU"/>
              </w:rPr>
              <w:t>2.2, п. 2.3 ст. 210 НК</w:t>
            </w:r>
            <w:r>
              <w:rPr>
                <w:spacing w:val="-5"/>
                <w:sz w:val="20"/>
                <w:szCs w:val="20"/>
                <w:lang w:val="ru-RU"/>
              </w:rPr>
              <w:t xml:space="preserve"> </w:t>
            </w:r>
            <w:r>
              <w:rPr>
                <w:sz w:val="20"/>
                <w:szCs w:val="20"/>
                <w:lang w:val="ru-RU"/>
              </w:rPr>
              <w:t xml:space="preserve">РФ </w:t>
            </w:r>
            <w:r>
              <w:rPr>
                <w:b/>
                <w:bCs/>
                <w:sz w:val="20"/>
                <w:szCs w:val="20"/>
                <w:vertAlign w:val="superscript"/>
                <w:lang w:val="ru-RU"/>
              </w:rPr>
              <w:t>3</w:t>
            </w:r>
          </w:p>
        </w:tc>
        <w:tc>
          <w:tcPr>
            <w:tcW w:w="1525" w:type="dxa"/>
            <w:vMerge w:val="restart"/>
            <w:vAlign w:val="center"/>
          </w:tcPr>
          <w:p>
            <w:pPr>
              <w:pStyle w:val="249"/>
              <w:rPr>
                <w:sz w:val="20"/>
                <w:szCs w:val="20"/>
              </w:rPr>
            </w:pPr>
            <w:r>
              <w:rPr>
                <w:sz w:val="20"/>
                <w:szCs w:val="20"/>
              </w:rPr>
              <w:t>Доход/код</w:t>
            </w:r>
            <w:r>
              <w:rPr>
                <w:sz w:val="20"/>
                <w:szCs w:val="20"/>
                <w:lang w:val="ru-RU"/>
              </w:rPr>
              <w:t xml:space="preserve"> ____</w:t>
            </w:r>
          </w:p>
        </w:tc>
        <w:tc>
          <w:tcPr>
            <w:tcW w:w="1134" w:type="dxa"/>
            <w:vAlign w:val="center"/>
          </w:tcPr>
          <w:p>
            <w:pPr>
              <w:pStyle w:val="249"/>
              <w:ind w:left="43"/>
              <w:rPr>
                <w:sz w:val="20"/>
                <w:szCs w:val="20"/>
              </w:rPr>
            </w:pPr>
            <w:r>
              <w:rPr>
                <w:sz w:val="20"/>
                <w:szCs w:val="20"/>
              </w:rPr>
              <w:t>Дата получения</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162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52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left="43"/>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trPr>
        <w:tc>
          <w:tcPr>
            <w:tcW w:w="162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659" w:type="dxa"/>
            <w:gridSpan w:val="2"/>
            <w:vAlign w:val="center"/>
          </w:tcPr>
          <w:p>
            <w:pPr>
              <w:pStyle w:val="249"/>
              <w:rPr>
                <w:sz w:val="20"/>
                <w:szCs w:val="20"/>
              </w:rPr>
            </w:pPr>
            <w:r>
              <w:rPr>
                <w:sz w:val="20"/>
                <w:szCs w:val="20"/>
              </w:rPr>
              <w:t>Величина налоговой базы</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5" w:hRule="atLeast"/>
        </w:trPr>
        <w:tc>
          <w:tcPr>
            <w:tcW w:w="3145" w:type="dxa"/>
            <w:gridSpan w:val="3"/>
            <w:vAlign w:val="center"/>
          </w:tcPr>
          <w:p>
            <w:pPr>
              <w:pStyle w:val="249"/>
              <w:rPr>
                <w:sz w:val="20"/>
                <w:szCs w:val="20"/>
                <w:lang w:val="ru-RU"/>
              </w:rPr>
            </w:pPr>
            <w:r>
              <w:rPr>
                <w:sz w:val="20"/>
                <w:szCs w:val="20"/>
                <w:lang w:val="ru-RU"/>
              </w:rPr>
              <w:t xml:space="preserve">Совокупность налоговых баз налогового нерезидента (с начала года), к которой применяется ставка 30%, предусмотренная абз. 1 п. 3 ст. 224 НК РФ </w:t>
            </w:r>
            <w:r>
              <w:rPr>
                <w:b/>
                <w:bCs/>
                <w:sz w:val="20"/>
                <w:szCs w:val="20"/>
                <w:vertAlign w:val="superscript"/>
                <w:lang w:val="ru-RU"/>
              </w:rPr>
              <w:t>4</w:t>
            </w:r>
          </w:p>
        </w:tc>
        <w:tc>
          <w:tcPr>
            <w:tcW w:w="1134" w:type="dxa"/>
            <w:vAlign w:val="center"/>
          </w:tcPr>
          <w:p>
            <w:pPr>
              <w:pStyle w:val="249"/>
              <w:ind w:left="0"/>
              <w:rPr>
                <w:sz w:val="20"/>
                <w:szCs w:val="20"/>
              </w:rPr>
            </w:pPr>
            <w:r>
              <w:rPr>
                <w:sz w:val="20"/>
                <w:szCs w:val="20"/>
              </w:rPr>
              <w:t>Общая величина налоговых баз</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0" w:hRule="atLeast"/>
        </w:trPr>
        <w:tc>
          <w:tcPr>
            <w:tcW w:w="3145" w:type="dxa"/>
            <w:gridSpan w:val="3"/>
            <w:vAlign w:val="center"/>
          </w:tcPr>
          <w:p>
            <w:pPr>
              <w:pStyle w:val="249"/>
              <w:rPr>
                <w:sz w:val="20"/>
                <w:szCs w:val="20"/>
                <w:lang w:val="ru-RU"/>
              </w:rPr>
            </w:pPr>
            <w:r>
              <w:rPr>
                <w:sz w:val="20"/>
                <w:szCs w:val="20"/>
                <w:lang w:val="ru-RU"/>
              </w:rPr>
              <w:t>Сумма налога (с начала года), исчисленная с совокупной налоговой базы налогового нерезидента по ставке 30%, предусмотренной абз. 1 п. 3 ст. 224 НК РФ</w:t>
            </w:r>
          </w:p>
        </w:tc>
        <w:tc>
          <w:tcPr>
            <w:tcW w:w="1134" w:type="dxa"/>
            <w:vAlign w:val="center"/>
          </w:tcPr>
          <w:p>
            <w:pPr>
              <w:pStyle w:val="249"/>
              <w:ind w:right="373"/>
              <w:rPr>
                <w:sz w:val="20"/>
                <w:szCs w:val="20"/>
              </w:rPr>
            </w:pPr>
            <w:r>
              <w:rPr>
                <w:sz w:val="20"/>
                <w:szCs w:val="20"/>
              </w:rPr>
              <w:t xml:space="preserve">Общая сумма </w:t>
            </w:r>
            <w:r>
              <w:rPr>
                <w:w w:val="95"/>
                <w:sz w:val="20"/>
                <w:szCs w:val="20"/>
              </w:rPr>
              <w:t xml:space="preserve">исчисленного </w:t>
            </w:r>
            <w:r>
              <w:rPr>
                <w:sz w:val="20"/>
                <w:szCs w:val="20"/>
              </w:rPr>
              <w:t>налога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4279" w:type="dxa"/>
            <w:gridSpan w:val="4"/>
            <w:vAlign w:val="center"/>
          </w:tcPr>
          <w:p>
            <w:pPr>
              <w:pStyle w:val="249"/>
              <w:rPr>
                <w:sz w:val="20"/>
                <w:szCs w:val="20"/>
                <w:lang w:val="ru-RU"/>
              </w:rPr>
            </w:pPr>
            <w:r>
              <w:rPr>
                <w:sz w:val="20"/>
                <w:szCs w:val="20"/>
                <w:lang w:val="ru-RU"/>
              </w:rPr>
              <w:t>Сумма налога, удержанного по ставке 30% с совокупной налоговой базы нерезидента РФ, нарастающим итогом</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4279" w:type="dxa"/>
            <w:gridSpan w:val="4"/>
            <w:vAlign w:val="center"/>
          </w:tcPr>
          <w:p>
            <w:pPr>
              <w:pStyle w:val="249"/>
              <w:rPr>
                <w:sz w:val="20"/>
                <w:szCs w:val="20"/>
                <w:lang w:val="ru-RU"/>
              </w:rPr>
            </w:pPr>
            <w:r>
              <w:rPr>
                <w:sz w:val="20"/>
                <w:szCs w:val="20"/>
                <w:lang w:val="ru-RU"/>
              </w:rPr>
              <w:t>Сумма дохода, с которого налоговым агентом не удержан налог по ставке 30% с совокупной налоговой базы нерезидента РФ</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4279" w:type="dxa"/>
            <w:gridSpan w:val="4"/>
            <w:vAlign w:val="center"/>
          </w:tcPr>
          <w:p>
            <w:pPr>
              <w:pStyle w:val="249"/>
              <w:ind w:right="31"/>
              <w:rPr>
                <w:sz w:val="20"/>
                <w:szCs w:val="20"/>
                <w:lang w:val="ru-RU"/>
              </w:rPr>
            </w:pPr>
            <w:r>
              <w:rPr>
                <w:sz w:val="20"/>
                <w:szCs w:val="20"/>
                <w:lang w:val="ru-RU"/>
              </w:rPr>
              <w:t>Сумма не удержанного налоговым агентом налога по ставке 30% с совокупной налоговой базы нерезидента РФ</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4279" w:type="dxa"/>
            <w:gridSpan w:val="4"/>
            <w:vAlign w:val="center"/>
          </w:tcPr>
          <w:p>
            <w:pPr>
              <w:pStyle w:val="249"/>
              <w:ind w:right="-10"/>
              <w:rPr>
                <w:sz w:val="20"/>
                <w:szCs w:val="20"/>
                <w:lang w:val="ru-RU"/>
              </w:rPr>
            </w:pPr>
            <w:r>
              <w:rPr>
                <w:sz w:val="20"/>
                <w:szCs w:val="20"/>
                <w:lang w:val="ru-RU"/>
              </w:rPr>
              <w:t>Сумма излишне удержанного налоговым агентом налога по ставке 30% с совокупной налоговой базы нерезидента РФ</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2" w:hRule="atLeast"/>
        </w:trPr>
        <w:tc>
          <w:tcPr>
            <w:tcW w:w="3145" w:type="dxa"/>
            <w:gridSpan w:val="3"/>
            <w:vMerge w:val="restart"/>
            <w:vAlign w:val="center"/>
          </w:tcPr>
          <w:p>
            <w:pPr>
              <w:pStyle w:val="249"/>
              <w:ind w:right="47"/>
              <w:rPr>
                <w:sz w:val="20"/>
                <w:szCs w:val="20"/>
                <w:lang w:val="ru-RU"/>
              </w:rPr>
            </w:pPr>
            <w:r>
              <w:rPr>
                <w:sz w:val="20"/>
                <w:szCs w:val="20"/>
                <w:lang w:val="ru-RU"/>
              </w:rPr>
              <w:t>Сумма возвращенного налоговым агентом налога по ставке 30% с совокупной налоговой базы нерезидента РФ</w:t>
            </w:r>
          </w:p>
        </w:tc>
        <w:tc>
          <w:tcPr>
            <w:tcW w:w="1134" w:type="dxa"/>
            <w:vAlign w:val="center"/>
          </w:tcPr>
          <w:p>
            <w:pPr>
              <w:pStyle w:val="249"/>
              <w:rPr>
                <w:sz w:val="20"/>
                <w:szCs w:val="20"/>
              </w:rPr>
            </w:pPr>
            <w:r>
              <w:rPr>
                <w:sz w:val="20"/>
                <w:szCs w:val="20"/>
              </w:rPr>
              <w:t>Сумма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3" w:hRule="atLeast"/>
        </w:trPr>
        <w:tc>
          <w:tcPr>
            <w:tcW w:w="314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62" w:type="dxa"/>
            <w:vAlign w:val="center"/>
          </w:tcPr>
          <w:p>
            <w:pPr>
              <w:pStyle w:val="249"/>
              <w:ind w:left="4"/>
              <w:jc w:val="center"/>
              <w:rPr>
                <w:sz w:val="20"/>
                <w:szCs w:val="20"/>
              </w:rPr>
            </w:pPr>
            <w:r>
              <w:rPr>
                <w:w w:val="99"/>
                <w:sz w:val="20"/>
                <w:szCs w:val="20"/>
              </w:rPr>
              <w:t>X</w:t>
            </w:r>
          </w:p>
        </w:tc>
      </w:tr>
    </w:tbl>
    <w:p>
      <w:pPr>
        <w:spacing w:after="0" w:line="240" w:lineRule="auto"/>
        <w:rPr>
          <w:rFonts w:ascii="Times New Roman" w:hAnsi="Times New Roman"/>
          <w:b/>
          <w:sz w:val="20"/>
          <w:szCs w:val="20"/>
        </w:rPr>
      </w:pPr>
    </w:p>
    <w:p>
      <w:pPr>
        <w:spacing w:after="0" w:line="240" w:lineRule="auto"/>
        <w:jc w:val="both"/>
        <w:rPr>
          <w:rFonts w:ascii="Times New Roman" w:hAnsi="Times New Roman"/>
          <w:b/>
          <w:sz w:val="24"/>
          <w:szCs w:val="24"/>
        </w:rPr>
      </w:pPr>
      <w:r>
        <w:rPr>
          <w:rFonts w:ascii="Times New Roman" w:hAnsi="Times New Roman"/>
          <w:b/>
          <w:bCs/>
          <w:sz w:val="24"/>
          <w:szCs w:val="24"/>
          <w:vertAlign w:val="superscript"/>
        </w:rPr>
        <w:t>1</w:t>
      </w:r>
      <w:r>
        <w:rPr>
          <w:rFonts w:ascii="Times New Roman" w:hAnsi="Times New Roman"/>
          <w:sz w:val="24"/>
          <w:szCs w:val="24"/>
        </w:rPr>
        <w:t xml:space="preserve">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pPr>
        <w:pStyle w:val="249"/>
        <w:ind w:left="0"/>
        <w:jc w:val="both"/>
        <w:rPr>
          <w:sz w:val="24"/>
          <w:szCs w:val="24"/>
          <w:lang w:val="ru-RU"/>
        </w:rPr>
      </w:pPr>
      <w:r>
        <w:rPr>
          <w:b/>
          <w:bCs/>
          <w:sz w:val="24"/>
          <w:szCs w:val="24"/>
          <w:vertAlign w:val="superscript"/>
          <w:lang w:val="ru-RU"/>
        </w:rPr>
        <w:t>2</w:t>
      </w:r>
      <w:r>
        <w:rPr>
          <w:sz w:val="24"/>
          <w:szCs w:val="24"/>
          <w:lang w:val="ru-RU"/>
        </w:rPr>
        <w:t xml:space="preserve"> В строке указываются суммы, которые согласно ст. 217 НК РФ не подлежат налогообложению в пределах установленных лимитов.</w:t>
      </w:r>
    </w:p>
    <w:p>
      <w:pPr>
        <w:spacing w:after="0" w:line="240" w:lineRule="auto"/>
        <w:jc w:val="both"/>
        <w:rPr>
          <w:rFonts w:ascii="Times New Roman" w:hAnsi="Times New Roman"/>
          <w:sz w:val="24"/>
          <w:szCs w:val="24"/>
        </w:rPr>
      </w:pPr>
      <w:r>
        <w:rPr>
          <w:rFonts w:ascii="Times New Roman" w:hAnsi="Times New Roman"/>
          <w:b/>
          <w:bCs/>
          <w:sz w:val="24"/>
          <w:szCs w:val="24"/>
          <w:vertAlign w:val="superscript"/>
        </w:rPr>
        <w:t>3</w:t>
      </w:r>
      <w:r>
        <w:rPr>
          <w:rFonts w:ascii="Times New Roman" w:hAnsi="Times New Roman"/>
          <w:sz w:val="24"/>
          <w:szCs w:val="24"/>
        </w:rPr>
        <w:t xml:space="preserve"> Если возникла налоговая база по доходам, указанным в пп. 1 - 7.1 п. 2.2 ст. 210 НК РФ, приведите в данной строке номер соответствующего подпункта и заполните ее. По каждому из таких подпунктов заполните отдельную строку. При отсутствии налоговой базы по данным доходам рассматриваемую строку можно исключить из таблицы.</w:t>
      </w:r>
    </w:p>
    <w:p>
      <w:pPr>
        <w:spacing w:after="0" w:line="240" w:lineRule="auto"/>
        <w:jc w:val="both"/>
        <w:rPr>
          <w:rFonts w:ascii="Times New Roman" w:hAnsi="Times New Roman"/>
          <w:b/>
          <w:sz w:val="24"/>
          <w:szCs w:val="24"/>
        </w:rPr>
      </w:pPr>
      <w:r>
        <w:rPr>
          <w:rFonts w:ascii="Times New Roman" w:hAnsi="Times New Roman"/>
          <w:b/>
          <w:bCs/>
          <w:sz w:val="24"/>
          <w:szCs w:val="24"/>
          <w:vertAlign w:val="superscript"/>
        </w:rPr>
        <w:t>4</w:t>
      </w:r>
      <w:r>
        <w:rPr>
          <w:rFonts w:ascii="Times New Roman" w:hAnsi="Times New Roman"/>
          <w:sz w:val="24"/>
          <w:szCs w:val="24"/>
        </w:rPr>
        <w:t xml:space="preserve"> При отсутствии у физлица доходов, формирующих налоговые базы, указанные в пп. 1 - 7.1 п. 2.2 ст. 210 НК РФ, показатель по строке, где приводится совокупность налоговых баз, равен показателю по строке "Налоговая база (с начала года) по доходам нерезидента РФ, указанным в пп. 8 п. 2.2 ст. 210 НК РФ".</w:t>
      </w:r>
    </w:p>
    <w:p>
      <w:pPr>
        <w:spacing w:after="0" w:line="240" w:lineRule="auto"/>
        <w:rPr>
          <w:rFonts w:ascii="Times New Roman" w:hAnsi="Times New Roman"/>
          <w:b/>
          <w:sz w:val="24"/>
          <w:szCs w:val="24"/>
        </w:rPr>
      </w:pPr>
    </w:p>
    <w:p>
      <w:pPr>
        <w:tabs>
          <w:tab w:val="left" w:pos="414"/>
        </w:tabs>
        <w:spacing w:after="0" w:line="240" w:lineRule="auto"/>
        <w:rPr>
          <w:rFonts w:ascii="Times New Roman" w:hAnsi="Times New Roman"/>
          <w:b/>
          <w:sz w:val="24"/>
          <w:szCs w:val="24"/>
        </w:rPr>
      </w:pPr>
      <w:r>
        <w:rPr>
          <w:rFonts w:ascii="Times New Roman" w:hAnsi="Times New Roman"/>
          <w:b/>
          <w:sz w:val="24"/>
          <w:szCs w:val="24"/>
        </w:rPr>
        <w:t>4.2. Удержанный налог и налог, возвращенный налоговым агентом:</w:t>
      </w:r>
    </w:p>
    <w:p>
      <w:pPr>
        <w:spacing w:after="0" w:line="240" w:lineRule="auto"/>
        <w:rPr>
          <w:rFonts w:ascii="Times New Roman" w:hAnsi="Times New Roman"/>
          <w:b/>
          <w:sz w:val="24"/>
          <w:szCs w:val="24"/>
        </w:rPr>
      </w:pPr>
    </w:p>
    <w:tbl>
      <w:tblPr>
        <w:tblStyle w:val="248"/>
        <w:tblW w:w="1547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2"/>
        <w:gridCol w:w="993"/>
        <w:gridCol w:w="493"/>
        <w:gridCol w:w="493"/>
        <w:gridCol w:w="493"/>
        <w:gridCol w:w="494"/>
        <w:gridCol w:w="493"/>
        <w:gridCol w:w="493"/>
        <w:gridCol w:w="493"/>
        <w:gridCol w:w="494"/>
        <w:gridCol w:w="493"/>
        <w:gridCol w:w="493"/>
        <w:gridCol w:w="494"/>
        <w:gridCol w:w="493"/>
        <w:gridCol w:w="493"/>
        <w:gridCol w:w="493"/>
        <w:gridCol w:w="494"/>
        <w:gridCol w:w="493"/>
        <w:gridCol w:w="493"/>
        <w:gridCol w:w="494"/>
        <w:gridCol w:w="493"/>
        <w:gridCol w:w="493"/>
        <w:gridCol w:w="493"/>
        <w:gridCol w:w="494"/>
        <w:gridCol w:w="493"/>
        <w:gridCol w:w="493"/>
        <w:gridCol w:w="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5" w:hRule="exact"/>
        </w:trPr>
        <w:tc>
          <w:tcPr>
            <w:tcW w:w="3145" w:type="dxa"/>
            <w:gridSpan w:val="2"/>
          </w:tcPr>
          <w:p>
            <w:pPr>
              <w:pStyle w:val="249"/>
              <w:ind w:left="901" w:right="896"/>
              <w:jc w:val="center"/>
              <w:rPr>
                <w:sz w:val="20"/>
                <w:szCs w:val="20"/>
              </w:rPr>
            </w:pPr>
            <w:r>
              <w:rPr>
                <w:sz w:val="20"/>
                <w:szCs w:val="20"/>
              </w:rPr>
              <w:t>Показатель</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января</w:t>
            </w:r>
          </w:p>
        </w:tc>
        <w:tc>
          <w:tcPr>
            <w:tcW w:w="493"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31</w:t>
            </w:r>
            <w:r>
              <w:rPr>
                <w:spacing w:val="-8"/>
                <w:sz w:val="20"/>
                <w:szCs w:val="20"/>
                <w:lang w:val="ru-RU"/>
              </w:rPr>
              <w:t xml:space="preserve"> </w:t>
            </w:r>
            <w:r>
              <w:rPr>
                <w:spacing w:val="-8"/>
                <w:sz w:val="20"/>
                <w:szCs w:val="20"/>
              </w:rPr>
              <w:t>января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февра</w:t>
            </w:r>
            <w:r>
              <w:rPr>
                <w:spacing w:val="-8"/>
                <w:w w:val="95"/>
                <w:sz w:val="20"/>
                <w:szCs w:val="20"/>
                <w:lang w:val="ru-RU"/>
              </w:rPr>
              <w:t>л</w:t>
            </w:r>
            <w:r>
              <w:rPr>
                <w:spacing w:val="-8"/>
                <w:sz w:val="20"/>
                <w:szCs w:val="20"/>
              </w:rPr>
              <w:t>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28</w:t>
            </w:r>
            <w:r>
              <w:rPr>
                <w:spacing w:val="-8"/>
                <w:sz w:val="20"/>
                <w:szCs w:val="20"/>
                <w:lang w:val="ru-RU"/>
              </w:rPr>
              <w:t xml:space="preserve"> </w:t>
            </w:r>
            <w:r>
              <w:rPr>
                <w:spacing w:val="-8"/>
                <w:sz w:val="20"/>
                <w:szCs w:val="20"/>
              </w:rPr>
              <w:t>(29)</w:t>
            </w:r>
            <w:r>
              <w:rPr>
                <w:spacing w:val="-8"/>
                <w:sz w:val="20"/>
                <w:szCs w:val="20"/>
                <w:lang w:val="ru-RU"/>
              </w:rPr>
              <w:t xml:space="preserve"> </w:t>
            </w:r>
            <w:r>
              <w:rPr>
                <w:spacing w:val="-8"/>
                <w:sz w:val="20"/>
                <w:szCs w:val="20"/>
              </w:rPr>
              <w:t>февраля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марта</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марта</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апреля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30 </w:t>
            </w:r>
            <w:r>
              <w:rPr>
                <w:spacing w:val="-8"/>
                <w:w w:val="95"/>
                <w:sz w:val="20"/>
                <w:szCs w:val="20"/>
              </w:rPr>
              <w:t>апрел</w:t>
            </w:r>
            <w:r>
              <w:rPr>
                <w:spacing w:val="-8"/>
                <w:sz w:val="20"/>
                <w:szCs w:val="20"/>
              </w:rPr>
              <w:t>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 мая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мая</w:t>
            </w:r>
          </w:p>
        </w:tc>
        <w:tc>
          <w:tcPr>
            <w:tcW w:w="49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июня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30 </w:t>
            </w:r>
            <w:r>
              <w:rPr>
                <w:spacing w:val="-8"/>
                <w:w w:val="95"/>
                <w:sz w:val="20"/>
                <w:szCs w:val="20"/>
              </w:rPr>
              <w:t>июня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июля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июля</w:t>
            </w:r>
          </w:p>
        </w:tc>
        <w:tc>
          <w:tcPr>
            <w:tcW w:w="49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авгу</w:t>
            </w:r>
            <w:r>
              <w:rPr>
                <w:spacing w:val="-8"/>
                <w:sz w:val="20"/>
                <w:szCs w:val="20"/>
                <w:lang w:val="ru-RU"/>
              </w:rPr>
              <w:t>ст</w:t>
            </w:r>
            <w:r>
              <w:rPr>
                <w:spacing w:val="-8"/>
                <w:sz w:val="20"/>
                <w:szCs w:val="20"/>
              </w:rPr>
              <w:t>а</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авгус а</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сентяб</w:t>
            </w:r>
            <w:r>
              <w:rPr>
                <w:spacing w:val="-8"/>
                <w:sz w:val="20"/>
                <w:szCs w:val="20"/>
              </w:rPr>
              <w:t>ря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30 </w:t>
            </w:r>
            <w:r>
              <w:rPr>
                <w:spacing w:val="-8"/>
                <w:w w:val="95"/>
                <w:sz w:val="20"/>
                <w:szCs w:val="20"/>
              </w:rPr>
              <w:t>сентяб</w:t>
            </w:r>
            <w:r>
              <w:rPr>
                <w:spacing w:val="-8"/>
                <w:sz w:val="20"/>
                <w:szCs w:val="20"/>
              </w:rPr>
              <w:t>ря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октября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октября</w:t>
            </w:r>
          </w:p>
        </w:tc>
        <w:tc>
          <w:tcPr>
            <w:tcW w:w="493"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ноября</w:t>
            </w:r>
          </w:p>
        </w:tc>
        <w:tc>
          <w:tcPr>
            <w:tcW w:w="49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ноября</w:t>
            </w:r>
          </w:p>
        </w:tc>
        <w:tc>
          <w:tcPr>
            <w:tcW w:w="493"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декаб</w:t>
            </w:r>
            <w:r>
              <w:rPr>
                <w:spacing w:val="-8"/>
                <w:sz w:val="20"/>
                <w:szCs w:val="20"/>
              </w:rPr>
              <w:t>ря</w:t>
            </w:r>
          </w:p>
        </w:tc>
        <w:tc>
          <w:tcPr>
            <w:tcW w:w="493"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декаб</w:t>
            </w:r>
            <w:r>
              <w:rPr>
                <w:spacing w:val="-8"/>
                <w:sz w:val="20"/>
                <w:szCs w:val="20"/>
              </w:rPr>
              <w:t>ря</w:t>
            </w:r>
          </w:p>
        </w:tc>
        <w:tc>
          <w:tcPr>
            <w:tcW w:w="494" w:type="dxa"/>
          </w:tcPr>
          <w:p>
            <w:pPr>
              <w:pStyle w:val="249"/>
              <w:ind w:left="0"/>
              <w:jc w:val="center"/>
              <w:rPr>
                <w:spacing w:val="-8"/>
                <w:sz w:val="20"/>
                <w:szCs w:val="20"/>
              </w:rPr>
            </w:pPr>
            <w:r>
              <w:rPr>
                <w:spacing w:val="-8"/>
                <w:sz w:val="20"/>
                <w:szCs w:val="20"/>
              </w:rPr>
              <w:t>Итого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3" w:hRule="atLeast"/>
        </w:trPr>
        <w:tc>
          <w:tcPr>
            <w:tcW w:w="2152" w:type="dxa"/>
            <w:vMerge w:val="restart"/>
          </w:tcPr>
          <w:p>
            <w:pPr>
              <w:pStyle w:val="249"/>
              <w:ind w:right="35"/>
              <w:rPr>
                <w:sz w:val="20"/>
                <w:szCs w:val="20"/>
                <w:lang w:val="ru-RU"/>
              </w:rPr>
            </w:pPr>
            <w:r>
              <w:rPr>
                <w:sz w:val="20"/>
                <w:szCs w:val="20"/>
                <w:lang w:val="ru-RU"/>
              </w:rPr>
              <w:t>Налог, удержанный по ставке 30% с налоговой базы нерезидента РФ</w:t>
            </w:r>
          </w:p>
        </w:tc>
        <w:tc>
          <w:tcPr>
            <w:tcW w:w="993" w:type="dxa"/>
          </w:tcPr>
          <w:p>
            <w:pPr>
              <w:pStyle w:val="249"/>
              <w:rPr>
                <w:sz w:val="20"/>
                <w:szCs w:val="20"/>
              </w:rPr>
            </w:pPr>
            <w:r>
              <w:rPr>
                <w:sz w:val="20"/>
                <w:szCs w:val="20"/>
              </w:rPr>
              <w:t>Сумма</w:t>
            </w: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trPr>
        <w:tc>
          <w:tcPr>
            <w:tcW w:w="2152" w:type="dxa"/>
            <w:vMerge w:val="continue"/>
          </w:tcPr>
          <w:p>
            <w:pPr>
              <w:widowControl w:val="0"/>
              <w:autoSpaceDE w:val="0"/>
              <w:autoSpaceDN w:val="0"/>
              <w:spacing w:after="0" w:line="240" w:lineRule="auto"/>
              <w:rPr>
                <w:rFonts w:ascii="Times New Roman" w:hAnsi="Times New Roman"/>
                <w:sz w:val="20"/>
                <w:szCs w:val="20"/>
                <w:lang w:val="en-US"/>
              </w:rPr>
            </w:pPr>
          </w:p>
        </w:tc>
        <w:tc>
          <w:tcPr>
            <w:tcW w:w="993" w:type="dxa"/>
          </w:tcPr>
          <w:p>
            <w:pPr>
              <w:pStyle w:val="249"/>
              <w:rPr>
                <w:sz w:val="20"/>
                <w:szCs w:val="20"/>
              </w:rPr>
            </w:pPr>
            <w:r>
              <w:rPr>
                <w:sz w:val="20"/>
                <w:szCs w:val="20"/>
              </w:rPr>
              <w:t xml:space="preserve">Дата </w:t>
            </w:r>
            <w:r>
              <w:rPr>
                <w:w w:val="95"/>
                <w:sz w:val="20"/>
                <w:szCs w:val="20"/>
              </w:rPr>
              <w:t>удержания</w:t>
            </w: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pStyle w:val="249"/>
              <w:ind w:left="2"/>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4" w:hRule="atLeast"/>
        </w:trPr>
        <w:tc>
          <w:tcPr>
            <w:tcW w:w="2152" w:type="dxa"/>
            <w:vMerge w:val="restart"/>
          </w:tcPr>
          <w:p>
            <w:pPr>
              <w:pStyle w:val="249"/>
              <w:ind w:right="35"/>
              <w:rPr>
                <w:sz w:val="20"/>
                <w:szCs w:val="20"/>
                <w:lang w:val="ru-RU"/>
              </w:rPr>
            </w:pPr>
            <w:r>
              <w:rPr>
                <w:sz w:val="20"/>
                <w:szCs w:val="20"/>
                <w:lang w:val="ru-RU"/>
              </w:rPr>
              <w:t>Возвращенный налоговым агентом налог по ставке 30% с налоговой базы нерезидента РФ</w:t>
            </w:r>
          </w:p>
        </w:tc>
        <w:tc>
          <w:tcPr>
            <w:tcW w:w="993" w:type="dxa"/>
          </w:tcPr>
          <w:p>
            <w:pPr>
              <w:pStyle w:val="249"/>
              <w:rPr>
                <w:sz w:val="20"/>
                <w:szCs w:val="20"/>
              </w:rPr>
            </w:pPr>
            <w:r>
              <w:rPr>
                <w:sz w:val="20"/>
                <w:szCs w:val="20"/>
              </w:rPr>
              <w:t>Сумма</w:t>
            </w: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2152" w:type="dxa"/>
            <w:vMerge w:val="continue"/>
          </w:tcPr>
          <w:p>
            <w:pPr>
              <w:widowControl w:val="0"/>
              <w:autoSpaceDE w:val="0"/>
              <w:autoSpaceDN w:val="0"/>
              <w:spacing w:after="0" w:line="240" w:lineRule="auto"/>
              <w:rPr>
                <w:rFonts w:ascii="Times New Roman" w:hAnsi="Times New Roman"/>
                <w:sz w:val="20"/>
                <w:szCs w:val="20"/>
                <w:lang w:val="en-US"/>
              </w:rPr>
            </w:pPr>
          </w:p>
        </w:tc>
        <w:tc>
          <w:tcPr>
            <w:tcW w:w="993" w:type="dxa"/>
          </w:tcPr>
          <w:p>
            <w:pPr>
              <w:pStyle w:val="249"/>
              <w:rPr>
                <w:sz w:val="20"/>
                <w:szCs w:val="20"/>
              </w:rPr>
            </w:pPr>
            <w:r>
              <w:rPr>
                <w:sz w:val="20"/>
                <w:szCs w:val="20"/>
              </w:rPr>
              <w:t>Дата возврата</w:t>
            </w: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3" w:type="dxa"/>
          </w:tcPr>
          <w:p>
            <w:pPr>
              <w:widowControl w:val="0"/>
              <w:autoSpaceDE w:val="0"/>
              <w:autoSpaceDN w:val="0"/>
              <w:spacing w:after="0" w:line="240" w:lineRule="auto"/>
              <w:rPr>
                <w:rFonts w:ascii="Times New Roman" w:hAnsi="Times New Roman"/>
                <w:sz w:val="20"/>
                <w:szCs w:val="20"/>
                <w:lang w:val="en-US"/>
              </w:rPr>
            </w:pPr>
          </w:p>
        </w:tc>
        <w:tc>
          <w:tcPr>
            <w:tcW w:w="494" w:type="dxa"/>
          </w:tcPr>
          <w:p>
            <w:pPr>
              <w:pStyle w:val="249"/>
              <w:ind w:left="2"/>
              <w:jc w:val="center"/>
              <w:rPr>
                <w:sz w:val="20"/>
                <w:szCs w:val="20"/>
              </w:rPr>
            </w:pPr>
            <w:r>
              <w:rPr>
                <w:w w:val="99"/>
                <w:sz w:val="20"/>
                <w:szCs w:val="20"/>
              </w:rPr>
              <w:t>X</w:t>
            </w:r>
          </w:p>
        </w:tc>
      </w:tr>
    </w:tbl>
    <w:p>
      <w:pPr>
        <w:spacing w:after="0" w:line="240" w:lineRule="auto"/>
        <w:rPr>
          <w:rFonts w:ascii="Times New Roman" w:hAnsi="Times New Roman"/>
        </w:rPr>
      </w:pPr>
    </w:p>
    <w:p>
      <w:pPr>
        <w:pStyle w:val="3"/>
        <w:spacing w:after="0" w:line="240" w:lineRule="auto"/>
        <w:jc w:val="both"/>
        <w:rPr>
          <w:rFonts w:ascii="Times New Roman" w:hAnsi="Times New Roman"/>
          <w:b/>
          <w:bCs/>
          <w:sz w:val="24"/>
          <w:szCs w:val="24"/>
        </w:rPr>
      </w:pPr>
      <w:r>
        <w:rPr>
          <w:rFonts w:ascii="Times New Roman" w:hAnsi="Times New Roman"/>
          <w:b/>
          <w:bCs/>
          <w:sz w:val="24"/>
          <w:szCs w:val="24"/>
        </w:rPr>
        <w:t>Раздел 5. Доходы налоговых нерезидентов РФ, облагаемые по ставке (прогрессивной шкале 13%, 15%, 18%, 20%, 22%), установленной п. 3.1 ст. 224 НК РФ, и сумма налога</w:t>
      </w:r>
    </w:p>
    <w:p>
      <w:pPr>
        <w:spacing w:after="0" w:line="240" w:lineRule="auto"/>
        <w:rPr>
          <w:rFonts w:ascii="Times New Roman" w:hAnsi="Times New Roman"/>
          <w:b/>
          <w:sz w:val="24"/>
          <w:szCs w:val="24"/>
        </w:rPr>
      </w:pPr>
    </w:p>
    <w:p>
      <w:pPr>
        <w:tabs>
          <w:tab w:val="left" w:pos="426"/>
        </w:tabs>
        <w:spacing w:after="0" w:line="240" w:lineRule="auto"/>
        <w:rPr>
          <w:rFonts w:ascii="Times New Roman" w:hAnsi="Times New Roman"/>
          <w:b/>
          <w:sz w:val="24"/>
          <w:szCs w:val="24"/>
        </w:rPr>
      </w:pPr>
      <w:r>
        <w:rPr>
          <w:rFonts w:ascii="Times New Roman" w:hAnsi="Times New Roman"/>
          <w:b/>
          <w:sz w:val="24"/>
          <w:szCs w:val="24"/>
        </w:rPr>
        <w:t>5.1. Расчет</w:t>
      </w:r>
      <w:r>
        <w:rPr>
          <w:rFonts w:ascii="Times New Roman" w:hAnsi="Times New Roman"/>
          <w:b/>
          <w:spacing w:val="-7"/>
          <w:sz w:val="24"/>
          <w:szCs w:val="24"/>
        </w:rPr>
        <w:t xml:space="preserve"> </w:t>
      </w:r>
      <w:r>
        <w:rPr>
          <w:rFonts w:ascii="Times New Roman" w:hAnsi="Times New Roman"/>
          <w:b/>
          <w:sz w:val="24"/>
          <w:szCs w:val="24"/>
        </w:rPr>
        <w:t>налоговой</w:t>
      </w:r>
      <w:r>
        <w:rPr>
          <w:rFonts w:ascii="Times New Roman" w:hAnsi="Times New Roman"/>
          <w:b/>
          <w:spacing w:val="-7"/>
          <w:sz w:val="24"/>
          <w:szCs w:val="24"/>
        </w:rPr>
        <w:t xml:space="preserve"> </w:t>
      </w:r>
      <w:r>
        <w:rPr>
          <w:rFonts w:ascii="Times New Roman" w:hAnsi="Times New Roman"/>
          <w:b/>
          <w:sz w:val="24"/>
          <w:szCs w:val="24"/>
        </w:rPr>
        <w:t>базы</w:t>
      </w:r>
      <w:r>
        <w:rPr>
          <w:rFonts w:ascii="Times New Roman" w:hAnsi="Times New Roman"/>
          <w:b/>
          <w:spacing w:val="-6"/>
          <w:sz w:val="24"/>
          <w:szCs w:val="24"/>
        </w:rPr>
        <w:t xml:space="preserve"> </w:t>
      </w:r>
      <w:r>
        <w:rPr>
          <w:rFonts w:ascii="Times New Roman" w:hAnsi="Times New Roman"/>
          <w:b/>
          <w:sz w:val="24"/>
          <w:szCs w:val="24"/>
        </w:rPr>
        <w:t>и</w:t>
      </w:r>
      <w:r>
        <w:rPr>
          <w:rFonts w:ascii="Times New Roman" w:hAnsi="Times New Roman"/>
          <w:b/>
          <w:spacing w:val="-7"/>
          <w:sz w:val="24"/>
          <w:szCs w:val="24"/>
        </w:rPr>
        <w:t xml:space="preserve"> </w:t>
      </w:r>
      <w:r>
        <w:rPr>
          <w:rFonts w:ascii="Times New Roman" w:hAnsi="Times New Roman"/>
          <w:b/>
          <w:sz w:val="24"/>
          <w:szCs w:val="24"/>
        </w:rPr>
        <w:t>суммы</w:t>
      </w:r>
      <w:r>
        <w:rPr>
          <w:rFonts w:ascii="Times New Roman" w:hAnsi="Times New Roman"/>
          <w:b/>
          <w:spacing w:val="-6"/>
          <w:sz w:val="24"/>
          <w:szCs w:val="24"/>
        </w:rPr>
        <w:t xml:space="preserve"> </w:t>
      </w:r>
      <w:r>
        <w:rPr>
          <w:rFonts w:ascii="Times New Roman" w:hAnsi="Times New Roman"/>
          <w:b/>
          <w:sz w:val="24"/>
          <w:szCs w:val="24"/>
        </w:rPr>
        <w:t>налога:</w:t>
      </w:r>
    </w:p>
    <w:p>
      <w:pPr>
        <w:spacing w:after="0" w:line="240" w:lineRule="auto"/>
        <w:rPr>
          <w:rFonts w:ascii="Times New Roman" w:hAnsi="Times New Roman"/>
          <w:b/>
          <w:sz w:val="24"/>
          <w:szCs w:val="24"/>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600"/>
        <w:gridCol w:w="1365"/>
        <w:gridCol w:w="1134"/>
        <w:gridCol w:w="850"/>
        <w:gridCol w:w="851"/>
        <w:gridCol w:w="850"/>
        <w:gridCol w:w="851"/>
        <w:gridCol w:w="850"/>
        <w:gridCol w:w="851"/>
        <w:gridCol w:w="850"/>
        <w:gridCol w:w="851"/>
        <w:gridCol w:w="851"/>
        <w:gridCol w:w="850"/>
        <w:gridCol w:w="850"/>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exact"/>
        </w:trPr>
        <w:tc>
          <w:tcPr>
            <w:tcW w:w="4419" w:type="dxa"/>
            <w:gridSpan w:val="4"/>
          </w:tcPr>
          <w:p>
            <w:pPr>
              <w:pStyle w:val="249"/>
              <w:ind w:left="1597" w:right="1595"/>
              <w:jc w:val="center"/>
              <w:rPr>
                <w:spacing w:val="-4"/>
                <w:sz w:val="20"/>
                <w:szCs w:val="20"/>
              </w:rPr>
            </w:pPr>
            <w:r>
              <w:rPr>
                <w:spacing w:val="-4"/>
                <w:w w:val="105"/>
                <w:sz w:val="20"/>
                <w:szCs w:val="20"/>
              </w:rPr>
              <w:t>Показатель</w:t>
            </w:r>
          </w:p>
        </w:tc>
        <w:tc>
          <w:tcPr>
            <w:tcW w:w="850" w:type="dxa"/>
          </w:tcPr>
          <w:p>
            <w:pPr>
              <w:pStyle w:val="249"/>
              <w:ind w:left="0"/>
              <w:jc w:val="center"/>
              <w:rPr>
                <w:spacing w:val="-4"/>
                <w:sz w:val="20"/>
                <w:szCs w:val="20"/>
              </w:rPr>
            </w:pPr>
            <w:r>
              <w:rPr>
                <w:spacing w:val="-4"/>
                <w:w w:val="105"/>
                <w:sz w:val="20"/>
                <w:szCs w:val="20"/>
              </w:rPr>
              <w:t>Январь</w:t>
            </w:r>
          </w:p>
        </w:tc>
        <w:tc>
          <w:tcPr>
            <w:tcW w:w="851" w:type="dxa"/>
          </w:tcPr>
          <w:p>
            <w:pPr>
              <w:pStyle w:val="249"/>
              <w:ind w:left="0"/>
              <w:jc w:val="center"/>
              <w:rPr>
                <w:spacing w:val="-4"/>
                <w:sz w:val="20"/>
                <w:szCs w:val="20"/>
              </w:rPr>
            </w:pPr>
            <w:r>
              <w:rPr>
                <w:spacing w:val="-4"/>
                <w:w w:val="105"/>
                <w:sz w:val="20"/>
                <w:szCs w:val="20"/>
              </w:rPr>
              <w:t>Февраль</w:t>
            </w:r>
          </w:p>
        </w:tc>
        <w:tc>
          <w:tcPr>
            <w:tcW w:w="850" w:type="dxa"/>
          </w:tcPr>
          <w:p>
            <w:pPr>
              <w:pStyle w:val="249"/>
              <w:ind w:left="0"/>
              <w:jc w:val="center"/>
              <w:rPr>
                <w:spacing w:val="-4"/>
                <w:sz w:val="20"/>
                <w:szCs w:val="20"/>
              </w:rPr>
            </w:pPr>
            <w:r>
              <w:rPr>
                <w:spacing w:val="-4"/>
                <w:w w:val="105"/>
                <w:sz w:val="20"/>
                <w:szCs w:val="20"/>
              </w:rPr>
              <w:t>Март</w:t>
            </w:r>
          </w:p>
        </w:tc>
        <w:tc>
          <w:tcPr>
            <w:tcW w:w="851" w:type="dxa"/>
          </w:tcPr>
          <w:p>
            <w:pPr>
              <w:pStyle w:val="249"/>
              <w:ind w:left="0"/>
              <w:jc w:val="center"/>
              <w:rPr>
                <w:spacing w:val="-4"/>
                <w:sz w:val="20"/>
                <w:szCs w:val="20"/>
              </w:rPr>
            </w:pPr>
            <w:r>
              <w:rPr>
                <w:spacing w:val="-4"/>
                <w:w w:val="105"/>
                <w:sz w:val="20"/>
                <w:szCs w:val="20"/>
              </w:rPr>
              <w:t>Апрель</w:t>
            </w:r>
          </w:p>
        </w:tc>
        <w:tc>
          <w:tcPr>
            <w:tcW w:w="850" w:type="dxa"/>
          </w:tcPr>
          <w:p>
            <w:pPr>
              <w:pStyle w:val="249"/>
              <w:ind w:left="0"/>
              <w:jc w:val="center"/>
              <w:rPr>
                <w:spacing w:val="-4"/>
                <w:sz w:val="20"/>
                <w:szCs w:val="20"/>
              </w:rPr>
            </w:pPr>
            <w:r>
              <w:rPr>
                <w:spacing w:val="-4"/>
                <w:w w:val="105"/>
                <w:sz w:val="20"/>
                <w:szCs w:val="20"/>
              </w:rPr>
              <w:t>Май</w:t>
            </w:r>
          </w:p>
        </w:tc>
        <w:tc>
          <w:tcPr>
            <w:tcW w:w="851" w:type="dxa"/>
          </w:tcPr>
          <w:p>
            <w:pPr>
              <w:pStyle w:val="249"/>
              <w:ind w:left="0"/>
              <w:jc w:val="center"/>
              <w:rPr>
                <w:spacing w:val="-4"/>
                <w:sz w:val="20"/>
                <w:szCs w:val="20"/>
              </w:rPr>
            </w:pPr>
            <w:r>
              <w:rPr>
                <w:spacing w:val="-4"/>
                <w:w w:val="105"/>
                <w:sz w:val="20"/>
                <w:szCs w:val="20"/>
              </w:rPr>
              <w:t>Июнь</w:t>
            </w:r>
          </w:p>
        </w:tc>
        <w:tc>
          <w:tcPr>
            <w:tcW w:w="850" w:type="dxa"/>
          </w:tcPr>
          <w:p>
            <w:pPr>
              <w:pStyle w:val="249"/>
              <w:ind w:left="0"/>
              <w:jc w:val="center"/>
              <w:rPr>
                <w:spacing w:val="-4"/>
                <w:sz w:val="20"/>
                <w:szCs w:val="20"/>
              </w:rPr>
            </w:pPr>
            <w:r>
              <w:rPr>
                <w:spacing w:val="-4"/>
                <w:w w:val="105"/>
                <w:sz w:val="20"/>
                <w:szCs w:val="20"/>
              </w:rPr>
              <w:t>Июль</w:t>
            </w:r>
          </w:p>
        </w:tc>
        <w:tc>
          <w:tcPr>
            <w:tcW w:w="851" w:type="dxa"/>
          </w:tcPr>
          <w:p>
            <w:pPr>
              <w:pStyle w:val="249"/>
              <w:ind w:left="0"/>
              <w:jc w:val="center"/>
              <w:rPr>
                <w:spacing w:val="-4"/>
                <w:sz w:val="20"/>
                <w:szCs w:val="20"/>
              </w:rPr>
            </w:pPr>
            <w:r>
              <w:rPr>
                <w:spacing w:val="-4"/>
                <w:w w:val="105"/>
                <w:sz w:val="20"/>
                <w:szCs w:val="20"/>
              </w:rPr>
              <w:t>Август</w:t>
            </w:r>
          </w:p>
        </w:tc>
        <w:tc>
          <w:tcPr>
            <w:tcW w:w="851" w:type="dxa"/>
          </w:tcPr>
          <w:p>
            <w:pPr>
              <w:pStyle w:val="249"/>
              <w:ind w:left="0"/>
              <w:jc w:val="center"/>
              <w:rPr>
                <w:spacing w:val="-4"/>
                <w:sz w:val="20"/>
                <w:szCs w:val="20"/>
              </w:rPr>
            </w:pPr>
            <w:r>
              <w:rPr>
                <w:spacing w:val="-4"/>
                <w:w w:val="105"/>
                <w:sz w:val="20"/>
                <w:szCs w:val="20"/>
              </w:rPr>
              <w:t>Сентябрь</w:t>
            </w:r>
          </w:p>
        </w:tc>
        <w:tc>
          <w:tcPr>
            <w:tcW w:w="850" w:type="dxa"/>
          </w:tcPr>
          <w:p>
            <w:pPr>
              <w:pStyle w:val="249"/>
              <w:ind w:left="0"/>
              <w:jc w:val="center"/>
              <w:rPr>
                <w:spacing w:val="-4"/>
                <w:sz w:val="20"/>
                <w:szCs w:val="20"/>
              </w:rPr>
            </w:pPr>
            <w:r>
              <w:rPr>
                <w:spacing w:val="-4"/>
                <w:w w:val="105"/>
                <w:sz w:val="20"/>
                <w:szCs w:val="20"/>
              </w:rPr>
              <w:t>Октябрь</w:t>
            </w:r>
          </w:p>
        </w:tc>
        <w:tc>
          <w:tcPr>
            <w:tcW w:w="850" w:type="dxa"/>
          </w:tcPr>
          <w:p>
            <w:pPr>
              <w:pStyle w:val="249"/>
              <w:ind w:left="0"/>
              <w:jc w:val="center"/>
              <w:rPr>
                <w:spacing w:val="-4"/>
                <w:sz w:val="20"/>
                <w:szCs w:val="20"/>
              </w:rPr>
            </w:pPr>
            <w:r>
              <w:rPr>
                <w:spacing w:val="-4"/>
                <w:w w:val="105"/>
                <w:sz w:val="20"/>
                <w:szCs w:val="20"/>
              </w:rPr>
              <w:t>Ноябрь</w:t>
            </w:r>
          </w:p>
        </w:tc>
        <w:tc>
          <w:tcPr>
            <w:tcW w:w="851" w:type="dxa"/>
          </w:tcPr>
          <w:p>
            <w:pPr>
              <w:pStyle w:val="249"/>
              <w:ind w:left="0"/>
              <w:jc w:val="center"/>
              <w:rPr>
                <w:spacing w:val="-4"/>
                <w:sz w:val="20"/>
                <w:szCs w:val="20"/>
              </w:rPr>
            </w:pPr>
            <w:r>
              <w:rPr>
                <w:spacing w:val="-4"/>
                <w:w w:val="105"/>
                <w:sz w:val="20"/>
                <w:szCs w:val="20"/>
              </w:rPr>
              <w:t>Декабрь</w:t>
            </w:r>
          </w:p>
        </w:tc>
        <w:tc>
          <w:tcPr>
            <w:tcW w:w="851" w:type="dxa"/>
          </w:tcPr>
          <w:p>
            <w:pPr>
              <w:pStyle w:val="249"/>
              <w:ind w:left="0"/>
              <w:jc w:val="center"/>
              <w:rPr>
                <w:spacing w:val="-4"/>
                <w:sz w:val="20"/>
                <w:szCs w:val="20"/>
              </w:rPr>
            </w:pPr>
            <w:r>
              <w:rPr>
                <w:spacing w:val="-4"/>
                <w:w w:val="105"/>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320" w:type="dxa"/>
            <w:vMerge w:val="restart"/>
            <w:vAlign w:val="center"/>
          </w:tcPr>
          <w:p>
            <w:pPr>
              <w:pStyle w:val="249"/>
              <w:ind w:right="403"/>
              <w:rPr>
                <w:sz w:val="20"/>
                <w:szCs w:val="20"/>
              </w:rPr>
            </w:pPr>
            <w:r>
              <w:rPr>
                <w:w w:val="105"/>
                <w:sz w:val="20"/>
                <w:szCs w:val="20"/>
              </w:rPr>
              <w:t xml:space="preserve">Вид дохода/Код дохода </w:t>
            </w:r>
            <w:r>
              <w:rPr>
                <w:b/>
                <w:bCs/>
                <w:sz w:val="20"/>
                <w:szCs w:val="20"/>
                <w:vertAlign w:val="superscript"/>
                <w:lang w:val="ru-RU"/>
              </w:rPr>
              <w:t>1</w:t>
            </w:r>
          </w:p>
        </w:tc>
        <w:tc>
          <w:tcPr>
            <w:tcW w:w="1965" w:type="dxa"/>
            <w:gridSpan w:val="2"/>
            <w:vMerge w:val="restart"/>
            <w:vAlign w:val="center"/>
          </w:tcPr>
          <w:p>
            <w:pPr>
              <w:pStyle w:val="249"/>
              <w:rPr>
                <w:sz w:val="20"/>
                <w:szCs w:val="20"/>
              </w:rPr>
            </w:pPr>
            <w:r>
              <w:rPr>
                <w:w w:val="105"/>
                <w:sz w:val="20"/>
                <w:szCs w:val="20"/>
              </w:rPr>
              <w:t>Зарплата/2000</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ind w:right="339"/>
              <w:rPr>
                <w:sz w:val="20"/>
                <w:szCs w:val="20"/>
                <w:lang w:val="ru-RU"/>
              </w:rPr>
            </w:pPr>
            <w:r>
              <w:rPr>
                <w:w w:val="105"/>
                <w:sz w:val="20"/>
                <w:szCs w:val="20"/>
                <w:lang w:val="ru-RU"/>
              </w:rPr>
              <w:t>Премии за производственные результаты и иные подобные показатели/2002</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rPr>
                <w:sz w:val="20"/>
                <w:szCs w:val="20"/>
              </w:rPr>
            </w:pPr>
            <w:r>
              <w:rPr>
                <w:w w:val="105"/>
                <w:sz w:val="20"/>
                <w:szCs w:val="20"/>
              </w:rPr>
              <w:t>Отпускные/2012</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ind w:right="335"/>
              <w:rPr>
                <w:sz w:val="20"/>
                <w:szCs w:val="20"/>
              </w:rPr>
            </w:pPr>
            <w:r>
              <w:rPr>
                <w:w w:val="105"/>
                <w:sz w:val="20"/>
                <w:szCs w:val="20"/>
              </w:rPr>
              <w:t>Компенсация за неиспользованный отпуск/2013</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ind w:right="303"/>
              <w:rPr>
                <w:sz w:val="20"/>
                <w:szCs w:val="20"/>
              </w:rPr>
            </w:pPr>
            <w:r>
              <w:rPr>
                <w:w w:val="105"/>
                <w:sz w:val="20"/>
                <w:szCs w:val="20"/>
              </w:rPr>
              <w:t>Сверхнормативные суточные/2015</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ind w:right="77"/>
              <w:rPr>
                <w:sz w:val="20"/>
                <w:szCs w:val="20"/>
              </w:rPr>
            </w:pPr>
            <w:r>
              <w:rPr>
                <w:w w:val="105"/>
                <w:sz w:val="20"/>
                <w:szCs w:val="20"/>
              </w:rPr>
              <w:t>Пособие по временной нетрудоспособности/2300</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restart"/>
            <w:vAlign w:val="center"/>
          </w:tcPr>
          <w:p>
            <w:pPr>
              <w:pStyle w:val="249"/>
              <w:ind w:right="581"/>
              <w:rPr>
                <w:sz w:val="20"/>
                <w:szCs w:val="20"/>
              </w:rPr>
            </w:pPr>
            <w:r>
              <w:rPr>
                <w:w w:val="105"/>
                <w:sz w:val="20"/>
                <w:szCs w:val="20"/>
              </w:rPr>
              <w:t>Материальная помощь/2760</w:t>
            </w:r>
          </w:p>
        </w:tc>
        <w:tc>
          <w:tcPr>
            <w:tcW w:w="1134" w:type="dxa"/>
            <w:vAlign w:val="center"/>
          </w:tcPr>
          <w:p>
            <w:pPr>
              <w:pStyle w:val="249"/>
              <w:rPr>
                <w:sz w:val="20"/>
                <w:szCs w:val="20"/>
              </w:rPr>
            </w:pPr>
            <w:r>
              <w:rPr>
                <w:w w:val="105"/>
                <w:sz w:val="20"/>
                <w:szCs w:val="20"/>
              </w:rPr>
              <w:t>Дата получения</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320"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965"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bottom w:val="single" w:color="auto" w:sz="4" w:space="0"/>
            </w:tcBorders>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trPr>
        <w:tc>
          <w:tcPr>
            <w:tcW w:w="3285" w:type="dxa"/>
            <w:gridSpan w:val="3"/>
            <w:vMerge w:val="restart"/>
            <w:tcBorders>
              <w:right w:val="single" w:color="auto" w:sz="4" w:space="0"/>
            </w:tcBorders>
            <w:vAlign w:val="center"/>
          </w:tcPr>
          <w:p>
            <w:pPr>
              <w:pStyle w:val="249"/>
              <w:ind w:right="70"/>
              <w:rPr>
                <w:sz w:val="20"/>
                <w:szCs w:val="20"/>
                <w:lang w:val="ru-RU"/>
              </w:rPr>
            </w:pPr>
            <w:r>
              <w:rPr>
                <w:w w:val="105"/>
                <w:sz w:val="20"/>
                <w:szCs w:val="20"/>
                <w:lang w:val="ru-RU"/>
              </w:rPr>
              <w:t xml:space="preserve">Вычеты в размерах, предусмотренных ст. 217 НК РФ </w:t>
            </w:r>
            <w:r>
              <w:rPr>
                <w:b/>
                <w:bCs/>
                <w:sz w:val="20"/>
                <w:szCs w:val="20"/>
                <w:vertAlign w:val="superscript"/>
                <w:lang w:val="ru-RU"/>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w w:val="105"/>
                <w:sz w:val="20"/>
                <w:szCs w:val="20"/>
              </w:rPr>
              <w:t>Код</w:t>
            </w:r>
            <w:r>
              <w:rPr>
                <w:w w:val="105"/>
                <w:sz w:val="20"/>
                <w:szCs w:val="20"/>
                <w:lang w:val="ru-RU"/>
              </w:rPr>
              <w:t xml:space="preserve"> </w:t>
            </w:r>
            <w:r>
              <w:rPr>
                <w:w w:val="105"/>
                <w:sz w:val="20"/>
                <w:szCs w:val="20"/>
                <w:u w:val="single"/>
                <w:lang w:val="ru-RU"/>
              </w:rPr>
              <w:t>503</w:t>
            </w:r>
          </w:p>
        </w:tc>
        <w:tc>
          <w:tcPr>
            <w:tcW w:w="850"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trPr>
        <w:tc>
          <w:tcPr>
            <w:tcW w:w="3285" w:type="dxa"/>
            <w:gridSpan w:val="3"/>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w w:val="105"/>
                <w:sz w:val="20"/>
                <w:szCs w:val="20"/>
              </w:rPr>
              <w:t>Код</w:t>
            </w:r>
            <w:r>
              <w:rPr>
                <w:w w:val="105"/>
                <w:sz w:val="20"/>
                <w:szCs w:val="20"/>
                <w:lang w:val="ru-RU"/>
              </w:rPr>
              <w:t xml:space="preserve"> ______</w:t>
            </w:r>
          </w:p>
        </w:tc>
        <w:tc>
          <w:tcPr>
            <w:tcW w:w="850"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 w:hRule="atLeast"/>
        </w:trPr>
        <w:tc>
          <w:tcPr>
            <w:tcW w:w="3285" w:type="dxa"/>
            <w:gridSpan w:val="3"/>
            <w:vMerge w:val="continue"/>
            <w:tcBorders>
              <w:right w:val="single" w:color="auto" w:sz="4" w:space="0"/>
            </w:tcBorders>
            <w:vAlign w:val="center"/>
          </w:tcPr>
          <w:p>
            <w:pPr>
              <w:widowControl w:val="0"/>
              <w:autoSpaceDE w:val="0"/>
              <w:autoSpaceDN w:val="0"/>
              <w:spacing w:after="0" w:line="240" w:lineRule="auto"/>
              <w:rPr>
                <w:rFonts w:ascii="Times New Roman" w:hAnsi="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49"/>
              <w:rPr>
                <w:sz w:val="20"/>
                <w:szCs w:val="20"/>
                <w:lang w:val="ru-RU"/>
              </w:rPr>
            </w:pPr>
            <w:r>
              <w:rPr>
                <w:w w:val="105"/>
                <w:sz w:val="20"/>
                <w:szCs w:val="20"/>
              </w:rPr>
              <w:t>Код</w:t>
            </w:r>
            <w:r>
              <w:rPr>
                <w:w w:val="105"/>
                <w:sz w:val="20"/>
                <w:szCs w:val="20"/>
                <w:lang w:val="ru-RU"/>
              </w:rPr>
              <w:t xml:space="preserve"> ______</w:t>
            </w:r>
          </w:p>
        </w:tc>
        <w:tc>
          <w:tcPr>
            <w:tcW w:w="850" w:type="dxa"/>
            <w:tcBorders>
              <w:left w:val="single" w:color="auto" w:sz="4" w:space="0"/>
            </w:tcBorders>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3285" w:type="dxa"/>
            <w:gridSpan w:val="3"/>
            <w:vMerge w:val="restart"/>
            <w:vAlign w:val="center"/>
          </w:tcPr>
          <w:p>
            <w:pPr>
              <w:pStyle w:val="249"/>
              <w:ind w:right="70"/>
              <w:rPr>
                <w:sz w:val="20"/>
                <w:szCs w:val="20"/>
                <w:lang w:val="ru-RU"/>
              </w:rPr>
            </w:pPr>
            <w:r>
              <w:rPr>
                <w:w w:val="105"/>
                <w:sz w:val="20"/>
                <w:szCs w:val="20"/>
                <w:lang w:val="ru-RU"/>
              </w:rPr>
              <w:t>Общая сумма доходов за минусом вычетов, предусмотренных ст. 217 НК РФ</w:t>
            </w:r>
          </w:p>
        </w:tc>
        <w:tc>
          <w:tcPr>
            <w:tcW w:w="1134" w:type="dxa"/>
            <w:tcBorders>
              <w:top w:val="single" w:color="auto" w:sz="4" w:space="0"/>
            </w:tcBorders>
            <w:vAlign w:val="center"/>
          </w:tcPr>
          <w:p>
            <w:pPr>
              <w:pStyle w:val="249"/>
              <w:rPr>
                <w:sz w:val="20"/>
                <w:szCs w:val="20"/>
                <w:lang w:val="ru-RU"/>
              </w:rPr>
            </w:pPr>
            <w:r>
              <w:rPr>
                <w:w w:val="105"/>
                <w:sz w:val="20"/>
                <w:szCs w:val="20"/>
                <w:lang w:val="ru-RU"/>
              </w:rPr>
              <w:t>За период, указанный в графе таблицы</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134" w:type="dxa"/>
            <w:vAlign w:val="center"/>
          </w:tcPr>
          <w:p>
            <w:pPr>
              <w:pStyle w:val="249"/>
              <w:rPr>
                <w:sz w:val="20"/>
                <w:szCs w:val="20"/>
              </w:rPr>
            </w:pPr>
            <w:r>
              <w:rPr>
                <w:w w:val="105"/>
                <w:sz w:val="20"/>
                <w:szCs w:val="20"/>
              </w:rPr>
              <w:t>С начала года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1920" w:type="dxa"/>
            <w:gridSpan w:val="2"/>
            <w:vMerge w:val="restart"/>
            <w:vAlign w:val="center"/>
          </w:tcPr>
          <w:p>
            <w:pPr>
              <w:pStyle w:val="249"/>
              <w:ind w:right="68"/>
              <w:rPr>
                <w:sz w:val="20"/>
                <w:szCs w:val="20"/>
                <w:lang w:val="ru-RU"/>
              </w:rPr>
            </w:pPr>
            <w:r>
              <w:rPr>
                <w:w w:val="105"/>
                <w:sz w:val="20"/>
                <w:szCs w:val="20"/>
                <w:lang w:val="ru-RU"/>
              </w:rPr>
              <w:t>Налоговая база (с начала года), определяемая в отношении доходов налогового нерезидента РФ, указанных в абз. 3 - 7, 10 п. 3 ст. 224 НК РФ</w:t>
            </w:r>
          </w:p>
        </w:tc>
        <w:tc>
          <w:tcPr>
            <w:tcW w:w="2499" w:type="dxa"/>
            <w:gridSpan w:val="2"/>
            <w:vAlign w:val="center"/>
          </w:tcPr>
          <w:p>
            <w:pPr>
              <w:pStyle w:val="249"/>
              <w:rPr>
                <w:sz w:val="20"/>
                <w:szCs w:val="20"/>
              </w:rPr>
            </w:pPr>
            <w:r>
              <w:rPr>
                <w:w w:val="105"/>
                <w:sz w:val="20"/>
                <w:szCs w:val="20"/>
              </w:rPr>
              <w:t>В пределах 2,4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2499" w:type="dxa"/>
            <w:gridSpan w:val="2"/>
            <w:vAlign w:val="center"/>
          </w:tcPr>
          <w:p>
            <w:pPr>
              <w:pStyle w:val="249"/>
              <w:rPr>
                <w:sz w:val="20"/>
                <w:szCs w:val="20"/>
                <w:lang w:val="ru-RU"/>
              </w:rPr>
            </w:pPr>
            <w:r>
              <w:rPr>
                <w:w w:val="105"/>
                <w:sz w:val="20"/>
                <w:szCs w:val="20"/>
                <w:lang w:val="ru-RU"/>
              </w:rPr>
              <w:t>В части, превышающей 2,4 млн руб., но не более 5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145"/>
              <w:rPr>
                <w:sz w:val="20"/>
                <w:szCs w:val="20"/>
                <w:lang w:val="ru-RU"/>
              </w:rPr>
            </w:pPr>
            <w:r>
              <w:rPr>
                <w:w w:val="105"/>
                <w:sz w:val="20"/>
                <w:szCs w:val="20"/>
                <w:lang w:val="ru-RU"/>
              </w:rPr>
              <w:t>В части, превышающей 5 млн руб., но не более 20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rPr>
                <w:sz w:val="20"/>
                <w:szCs w:val="20"/>
                <w:lang w:val="ru-RU"/>
              </w:rPr>
            </w:pPr>
            <w:r>
              <w:rPr>
                <w:w w:val="105"/>
                <w:sz w:val="20"/>
                <w:szCs w:val="20"/>
                <w:lang w:val="ru-RU"/>
              </w:rPr>
              <w:t>В части, превышающей 20 млн руб., но не более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145"/>
              <w:rPr>
                <w:sz w:val="20"/>
                <w:szCs w:val="20"/>
                <w:lang w:val="ru-RU"/>
              </w:rPr>
            </w:pPr>
            <w:r>
              <w:rPr>
                <w:w w:val="105"/>
                <w:sz w:val="20"/>
                <w:szCs w:val="20"/>
                <w:lang w:val="ru-RU"/>
              </w:rPr>
              <w:t>В части, превышающей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rPr>
                <w:sz w:val="20"/>
                <w:szCs w:val="20"/>
              </w:rPr>
            </w:pPr>
            <w:r>
              <w:rPr>
                <w:w w:val="105"/>
                <w:sz w:val="20"/>
                <w:szCs w:val="20"/>
              </w:rPr>
              <w:t>Общая сумма налоговой базы</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5" w:hRule="atLeast"/>
        </w:trPr>
        <w:tc>
          <w:tcPr>
            <w:tcW w:w="1920" w:type="dxa"/>
            <w:gridSpan w:val="2"/>
            <w:vMerge w:val="restart"/>
            <w:vAlign w:val="center"/>
          </w:tcPr>
          <w:p>
            <w:pPr>
              <w:pStyle w:val="249"/>
              <w:rPr>
                <w:sz w:val="20"/>
                <w:szCs w:val="20"/>
                <w:lang w:val="ru-RU"/>
              </w:rPr>
            </w:pPr>
            <w:r>
              <w:rPr>
                <w:w w:val="105"/>
                <w:sz w:val="20"/>
                <w:szCs w:val="20"/>
                <w:lang w:val="ru-RU"/>
              </w:rPr>
              <w:t>Сумма налога (с начала года), исчисленная с налоговой базы нерезидента РФ, облагаемой по ставке, предусмотренной п. 3.1 ст. 224 НК РФ</w:t>
            </w:r>
          </w:p>
        </w:tc>
        <w:tc>
          <w:tcPr>
            <w:tcW w:w="2499" w:type="dxa"/>
            <w:gridSpan w:val="2"/>
            <w:vAlign w:val="center"/>
          </w:tcPr>
          <w:p>
            <w:pPr>
              <w:pStyle w:val="249"/>
              <w:ind w:right="145"/>
              <w:rPr>
                <w:sz w:val="20"/>
                <w:szCs w:val="20"/>
                <w:lang w:val="ru-RU"/>
              </w:rPr>
            </w:pPr>
            <w:r>
              <w:rPr>
                <w:w w:val="105"/>
                <w:sz w:val="20"/>
                <w:szCs w:val="20"/>
                <w:lang w:val="ru-RU"/>
              </w:rPr>
              <w:t>Налог, исчисленный в размере 13% налоговой базы в пределах 2,4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51"/>
              <w:rPr>
                <w:sz w:val="20"/>
                <w:szCs w:val="20"/>
                <w:lang w:val="ru-RU"/>
              </w:rPr>
            </w:pPr>
            <w:r>
              <w:rPr>
                <w:w w:val="105"/>
                <w:sz w:val="20"/>
                <w:szCs w:val="20"/>
                <w:lang w:val="ru-RU"/>
              </w:rPr>
              <w:t>Налог, исчисленный в размере 15% части налоговой базы, превышающей 2,4 млн руб., но не более 5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145"/>
              <w:rPr>
                <w:sz w:val="20"/>
                <w:szCs w:val="20"/>
                <w:lang w:val="ru-RU"/>
              </w:rPr>
            </w:pPr>
            <w:r>
              <w:rPr>
                <w:w w:val="105"/>
                <w:sz w:val="20"/>
                <w:szCs w:val="20"/>
                <w:lang w:val="ru-RU"/>
              </w:rPr>
              <w:t>Налог, исчисленный в размере 18% части налоговой базы, превышающей 5 млн руб., но не более 20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82"/>
              <w:rPr>
                <w:sz w:val="20"/>
                <w:szCs w:val="20"/>
                <w:lang w:val="ru-RU"/>
              </w:rPr>
            </w:pPr>
            <w:r>
              <w:rPr>
                <w:w w:val="105"/>
                <w:sz w:val="20"/>
                <w:szCs w:val="20"/>
                <w:lang w:val="ru-RU"/>
              </w:rPr>
              <w:t>Налог, исчисленный в размере 20% части налоговой базы, превышающей 20 млн руб., но не более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920" w:type="dxa"/>
            <w:gridSpan w:val="2"/>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2499" w:type="dxa"/>
            <w:gridSpan w:val="2"/>
            <w:vAlign w:val="center"/>
          </w:tcPr>
          <w:p>
            <w:pPr>
              <w:pStyle w:val="249"/>
              <w:ind w:right="231"/>
              <w:rPr>
                <w:sz w:val="20"/>
                <w:szCs w:val="20"/>
                <w:lang w:val="ru-RU"/>
              </w:rPr>
            </w:pPr>
            <w:r>
              <w:rPr>
                <w:w w:val="105"/>
                <w:sz w:val="20"/>
                <w:szCs w:val="20"/>
                <w:lang w:val="ru-RU"/>
              </w:rPr>
              <w:t>Налог, исчисленный в размере 22% части налоговой базы, превышающей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trPr>
        <w:tc>
          <w:tcPr>
            <w:tcW w:w="3285" w:type="dxa"/>
            <w:gridSpan w:val="3"/>
            <w:vAlign w:val="center"/>
          </w:tcPr>
          <w:p>
            <w:pPr>
              <w:pStyle w:val="249"/>
              <w:rPr>
                <w:sz w:val="20"/>
                <w:szCs w:val="20"/>
                <w:lang w:val="ru-RU"/>
              </w:rPr>
            </w:pPr>
            <w:r>
              <w:rPr>
                <w:w w:val="105"/>
                <w:sz w:val="20"/>
                <w:szCs w:val="20"/>
                <w:lang w:val="ru-RU"/>
              </w:rPr>
              <w:t xml:space="preserve">Фиксированный авансовый платеж по НДФЛ </w:t>
            </w:r>
            <w:r>
              <w:rPr>
                <w:b/>
                <w:bCs/>
                <w:sz w:val="20"/>
                <w:szCs w:val="20"/>
                <w:vertAlign w:val="superscript"/>
                <w:lang w:val="ru-RU"/>
              </w:rPr>
              <w:t>3</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rPr>
        <w:tc>
          <w:tcPr>
            <w:tcW w:w="4419" w:type="dxa"/>
            <w:gridSpan w:val="4"/>
            <w:vAlign w:val="center"/>
          </w:tcPr>
          <w:p>
            <w:pPr>
              <w:pStyle w:val="249"/>
              <w:ind w:right="20"/>
              <w:rPr>
                <w:sz w:val="20"/>
                <w:szCs w:val="20"/>
                <w:lang w:val="ru-RU"/>
              </w:rPr>
            </w:pPr>
            <w:r>
              <w:rPr>
                <w:w w:val="105"/>
                <w:sz w:val="20"/>
                <w:szCs w:val="20"/>
                <w:lang w:val="ru-RU"/>
              </w:rPr>
              <w:t>Сумма налога, удержанного по ставке 13% с налоговой базы нерезидента РФ в пределах 2,4 млн руб., нарастающим итогом</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4419" w:type="dxa"/>
            <w:gridSpan w:val="4"/>
            <w:vAlign w:val="center"/>
          </w:tcPr>
          <w:p>
            <w:pPr>
              <w:pStyle w:val="249"/>
              <w:ind w:right="20"/>
              <w:rPr>
                <w:sz w:val="20"/>
                <w:szCs w:val="20"/>
                <w:lang w:val="ru-RU"/>
              </w:rPr>
            </w:pPr>
            <w:r>
              <w:rPr>
                <w:w w:val="105"/>
                <w:sz w:val="20"/>
                <w:szCs w:val="20"/>
                <w:lang w:val="ru-RU"/>
              </w:rPr>
              <w:t>Сумма налога, удержанного по ставке 15% с части налоговой базы нерезидента РФ, превышающей 2,4 млн руб., но не более 5 млн руб., нарастающим итогом</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4419" w:type="dxa"/>
            <w:gridSpan w:val="4"/>
            <w:vAlign w:val="center"/>
          </w:tcPr>
          <w:p>
            <w:pPr>
              <w:pStyle w:val="249"/>
              <w:ind w:right="144"/>
              <w:rPr>
                <w:sz w:val="20"/>
                <w:szCs w:val="20"/>
                <w:lang w:val="ru-RU"/>
              </w:rPr>
            </w:pPr>
            <w:r>
              <w:rPr>
                <w:w w:val="105"/>
                <w:sz w:val="20"/>
                <w:szCs w:val="20"/>
                <w:lang w:val="ru-RU"/>
              </w:rPr>
              <w:t>Сумма налога, удержанного по ставке 18% с части налоговой базы нерезидента РФ, превышающей 5 млн руб., но не более 20 млн руб., нарастающим итогом</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4419" w:type="dxa"/>
            <w:gridSpan w:val="4"/>
            <w:vAlign w:val="center"/>
          </w:tcPr>
          <w:p>
            <w:pPr>
              <w:pStyle w:val="249"/>
              <w:ind w:right="20"/>
              <w:rPr>
                <w:sz w:val="20"/>
                <w:szCs w:val="20"/>
                <w:lang w:val="ru-RU"/>
              </w:rPr>
            </w:pPr>
            <w:r>
              <w:rPr>
                <w:w w:val="105"/>
                <w:sz w:val="20"/>
                <w:szCs w:val="20"/>
                <w:lang w:val="ru-RU"/>
              </w:rPr>
              <w:t>Сумма налога, удержанного по ставке 20% с части налоговой базы нерезидента РФ, превышающей 20 млн руб., но не более 50 млн руб., нарастающим итогом</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4419" w:type="dxa"/>
            <w:gridSpan w:val="4"/>
            <w:vAlign w:val="center"/>
          </w:tcPr>
          <w:p>
            <w:pPr>
              <w:pStyle w:val="249"/>
              <w:ind w:right="20"/>
              <w:rPr>
                <w:sz w:val="20"/>
                <w:szCs w:val="20"/>
                <w:lang w:val="ru-RU"/>
              </w:rPr>
            </w:pPr>
            <w:r>
              <w:rPr>
                <w:w w:val="105"/>
                <w:sz w:val="20"/>
                <w:szCs w:val="20"/>
                <w:lang w:val="ru-RU"/>
              </w:rPr>
              <w:t>Сумма налога, удержанного по ставке 22% с части налоговой базы нерезидента РФ, превышающей 50 млн руб., нарастающим итогом</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trPr>
        <w:tc>
          <w:tcPr>
            <w:tcW w:w="4419" w:type="dxa"/>
            <w:gridSpan w:val="4"/>
            <w:vAlign w:val="center"/>
          </w:tcPr>
          <w:p>
            <w:pPr>
              <w:pStyle w:val="249"/>
              <w:ind w:right="20"/>
              <w:rPr>
                <w:sz w:val="20"/>
                <w:szCs w:val="20"/>
                <w:lang w:val="ru-RU"/>
              </w:rPr>
            </w:pPr>
            <w:r>
              <w:rPr>
                <w:w w:val="105"/>
                <w:sz w:val="20"/>
                <w:szCs w:val="20"/>
                <w:lang w:val="ru-RU"/>
              </w:rPr>
              <w:t>Сумма дохода, с которого налоговым агентом не удержан налог по ставке 13% с налоговой базы нерезидента РФ в пределах 2,4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419" w:type="dxa"/>
            <w:gridSpan w:val="4"/>
            <w:vAlign w:val="center"/>
          </w:tcPr>
          <w:p>
            <w:pPr>
              <w:pStyle w:val="249"/>
              <w:ind w:right="20"/>
              <w:rPr>
                <w:sz w:val="20"/>
                <w:szCs w:val="20"/>
                <w:lang w:val="ru-RU"/>
              </w:rPr>
            </w:pPr>
            <w:r>
              <w:rPr>
                <w:w w:val="105"/>
                <w:sz w:val="20"/>
                <w:szCs w:val="20"/>
                <w:lang w:val="ru-RU"/>
              </w:rPr>
              <w:t>Сумма не удержанного налоговым агентом налога по ставке 13% с налоговой базы нерезидента РФ в пределах 2,4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4419" w:type="dxa"/>
            <w:gridSpan w:val="4"/>
            <w:vAlign w:val="center"/>
          </w:tcPr>
          <w:p>
            <w:pPr>
              <w:pStyle w:val="249"/>
              <w:ind w:right="124"/>
              <w:rPr>
                <w:sz w:val="20"/>
                <w:szCs w:val="20"/>
                <w:lang w:val="ru-RU"/>
              </w:rPr>
            </w:pPr>
            <w:r>
              <w:rPr>
                <w:w w:val="105"/>
                <w:sz w:val="20"/>
                <w:szCs w:val="20"/>
                <w:lang w:val="ru-RU"/>
              </w:rPr>
              <w:t>Сумма дохода, с которого налоговым агентом не удержан налог по ставке 15% с части налоговой базы нерезидента РФ, превышающей 2,4 млн руб., но не более 5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4419" w:type="dxa"/>
            <w:gridSpan w:val="4"/>
            <w:vAlign w:val="center"/>
          </w:tcPr>
          <w:p>
            <w:pPr>
              <w:pStyle w:val="249"/>
              <w:ind w:right="141"/>
              <w:rPr>
                <w:sz w:val="20"/>
                <w:szCs w:val="20"/>
                <w:lang w:val="ru-RU"/>
              </w:rPr>
            </w:pPr>
            <w:r>
              <w:rPr>
                <w:w w:val="105"/>
                <w:sz w:val="20"/>
                <w:szCs w:val="20"/>
                <w:lang w:val="ru-RU"/>
              </w:rPr>
              <w:t>Сумма не удержанного налоговым агентом налога по ставке 15% с части налоговой базы нерезидента РФ, превышающей 2,4 млн руб., но не более 5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3" w:hRule="atLeast"/>
        </w:trPr>
        <w:tc>
          <w:tcPr>
            <w:tcW w:w="4419" w:type="dxa"/>
            <w:gridSpan w:val="4"/>
            <w:vAlign w:val="center"/>
          </w:tcPr>
          <w:p>
            <w:pPr>
              <w:pStyle w:val="249"/>
              <w:ind w:right="20"/>
              <w:rPr>
                <w:sz w:val="20"/>
                <w:szCs w:val="20"/>
                <w:lang w:val="ru-RU"/>
              </w:rPr>
            </w:pPr>
            <w:r>
              <w:rPr>
                <w:w w:val="105"/>
                <w:sz w:val="20"/>
                <w:szCs w:val="20"/>
                <w:lang w:val="ru-RU"/>
              </w:rPr>
              <w:t>Сумма дохода, с которого налоговым агентом не удержан налог по ставке 18% с части налоговой базы нерезидента РФ, превышающей 5 млн руб., но не более 20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4419" w:type="dxa"/>
            <w:gridSpan w:val="4"/>
            <w:vAlign w:val="center"/>
          </w:tcPr>
          <w:p>
            <w:pPr>
              <w:pStyle w:val="249"/>
              <w:ind w:right="20"/>
              <w:rPr>
                <w:sz w:val="20"/>
                <w:szCs w:val="20"/>
                <w:lang w:val="ru-RU"/>
              </w:rPr>
            </w:pPr>
            <w:r>
              <w:rPr>
                <w:w w:val="105"/>
                <w:sz w:val="20"/>
                <w:szCs w:val="20"/>
                <w:lang w:val="ru-RU"/>
              </w:rPr>
              <w:t>Сумма не удержанного налоговым агентом налога по ставке 18% с части налоговой базы нерезидента РФ, превышающей 5 млн руб., но не более 20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4419" w:type="dxa"/>
            <w:gridSpan w:val="4"/>
            <w:vAlign w:val="center"/>
          </w:tcPr>
          <w:p>
            <w:pPr>
              <w:pStyle w:val="249"/>
              <w:ind w:right="124"/>
              <w:rPr>
                <w:sz w:val="20"/>
                <w:szCs w:val="20"/>
                <w:lang w:val="ru-RU"/>
              </w:rPr>
            </w:pPr>
            <w:r>
              <w:rPr>
                <w:w w:val="105"/>
                <w:sz w:val="20"/>
                <w:szCs w:val="20"/>
                <w:lang w:val="ru-RU"/>
              </w:rPr>
              <w:t>Сумма дохода, с которого налоговым агентом не удержан налог по ставке 20% с части налоговой базы нерезидента РФ, превышающей 20 млн руб., но не более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4419" w:type="dxa"/>
            <w:gridSpan w:val="4"/>
            <w:vAlign w:val="center"/>
          </w:tcPr>
          <w:p>
            <w:pPr>
              <w:pStyle w:val="249"/>
              <w:ind w:right="141"/>
              <w:rPr>
                <w:sz w:val="20"/>
                <w:szCs w:val="20"/>
                <w:lang w:val="ru-RU"/>
              </w:rPr>
            </w:pPr>
            <w:r>
              <w:rPr>
                <w:w w:val="105"/>
                <w:sz w:val="20"/>
                <w:szCs w:val="20"/>
                <w:lang w:val="ru-RU"/>
              </w:rPr>
              <w:t>Сумма не удержанного налоговым агентом налога по ставке 20% с части налоговой базы нерезидента РФ, превышающей 20 млн руб., но не более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4419" w:type="dxa"/>
            <w:gridSpan w:val="4"/>
            <w:vAlign w:val="center"/>
          </w:tcPr>
          <w:p>
            <w:pPr>
              <w:pStyle w:val="249"/>
              <w:ind w:right="124"/>
              <w:rPr>
                <w:sz w:val="20"/>
                <w:szCs w:val="20"/>
                <w:lang w:val="ru-RU"/>
              </w:rPr>
            </w:pPr>
            <w:r>
              <w:rPr>
                <w:w w:val="105"/>
                <w:sz w:val="20"/>
                <w:szCs w:val="20"/>
                <w:lang w:val="ru-RU"/>
              </w:rPr>
              <w:t>Сумма дохода, с которого налоговым агентом не удержан налог по ставке 22% с части налоговой базы нерезидента РФ, превышающей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4419" w:type="dxa"/>
            <w:gridSpan w:val="4"/>
            <w:vAlign w:val="center"/>
          </w:tcPr>
          <w:p>
            <w:pPr>
              <w:pStyle w:val="249"/>
              <w:ind w:right="20"/>
              <w:rPr>
                <w:sz w:val="20"/>
                <w:szCs w:val="20"/>
                <w:lang w:val="ru-RU"/>
              </w:rPr>
            </w:pPr>
            <w:r>
              <w:rPr>
                <w:w w:val="105"/>
                <w:sz w:val="20"/>
                <w:szCs w:val="20"/>
                <w:lang w:val="ru-RU"/>
              </w:rPr>
              <w:t>Сумма не удержанного налоговым агентом налога по ставке 22% с части налоговой базы нерезидента РФ, превышающей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4419" w:type="dxa"/>
            <w:gridSpan w:val="4"/>
            <w:vAlign w:val="center"/>
          </w:tcPr>
          <w:p>
            <w:pPr>
              <w:pStyle w:val="249"/>
              <w:ind w:right="20"/>
              <w:rPr>
                <w:sz w:val="20"/>
                <w:szCs w:val="20"/>
                <w:lang w:val="ru-RU"/>
              </w:rPr>
            </w:pPr>
            <w:r>
              <w:rPr>
                <w:w w:val="105"/>
                <w:sz w:val="20"/>
                <w:szCs w:val="20"/>
                <w:lang w:val="ru-RU"/>
              </w:rPr>
              <w:t>Сумма излишне удержанного налоговым агентом налога по ставке 13% с налоговой базы нерезидента РФ в пределах 2,4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 w:hRule="atLeast"/>
        </w:trPr>
        <w:tc>
          <w:tcPr>
            <w:tcW w:w="4419" w:type="dxa"/>
            <w:gridSpan w:val="4"/>
            <w:vAlign w:val="center"/>
          </w:tcPr>
          <w:p>
            <w:pPr>
              <w:pStyle w:val="249"/>
              <w:ind w:right="20"/>
              <w:rPr>
                <w:sz w:val="20"/>
                <w:szCs w:val="20"/>
                <w:lang w:val="ru-RU"/>
              </w:rPr>
            </w:pPr>
            <w:r>
              <w:rPr>
                <w:w w:val="105"/>
                <w:sz w:val="20"/>
                <w:szCs w:val="20"/>
                <w:lang w:val="ru-RU"/>
              </w:rPr>
              <w:t>Сумма излишне удержанного налоговым агентом налога по ставке 15% с части налоговой базы нерезидента РФ, превышающей 2,4 млн руб., но не более 5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4419" w:type="dxa"/>
            <w:gridSpan w:val="4"/>
            <w:vAlign w:val="center"/>
          </w:tcPr>
          <w:p>
            <w:pPr>
              <w:pStyle w:val="249"/>
              <w:ind w:right="150"/>
              <w:rPr>
                <w:sz w:val="20"/>
                <w:szCs w:val="20"/>
                <w:lang w:val="ru-RU"/>
              </w:rPr>
            </w:pPr>
            <w:r>
              <w:rPr>
                <w:w w:val="105"/>
                <w:sz w:val="20"/>
                <w:szCs w:val="20"/>
                <w:lang w:val="ru-RU"/>
              </w:rPr>
              <w:t>Сумма излишне удержанного налоговым агентом налога по ставке 18% с части налоговой базы нерезидента РФ, превышающей 5 млн руб., но не более 20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4419" w:type="dxa"/>
            <w:gridSpan w:val="4"/>
            <w:vAlign w:val="center"/>
          </w:tcPr>
          <w:p>
            <w:pPr>
              <w:pStyle w:val="249"/>
              <w:ind w:right="20"/>
              <w:rPr>
                <w:sz w:val="20"/>
                <w:szCs w:val="20"/>
                <w:lang w:val="ru-RU"/>
              </w:rPr>
            </w:pPr>
            <w:r>
              <w:rPr>
                <w:w w:val="105"/>
                <w:sz w:val="20"/>
                <w:szCs w:val="20"/>
                <w:lang w:val="ru-RU"/>
              </w:rPr>
              <w:t>Сумма излишне удержанного налоговым агентом налога по ставке 20% с части налоговой базы нерезидента РФ, превышающей 20 млн руб., но не более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4419" w:type="dxa"/>
            <w:gridSpan w:val="4"/>
            <w:vAlign w:val="center"/>
          </w:tcPr>
          <w:p>
            <w:pPr>
              <w:pStyle w:val="249"/>
              <w:ind w:right="20"/>
              <w:rPr>
                <w:sz w:val="20"/>
                <w:szCs w:val="20"/>
                <w:lang w:val="ru-RU"/>
              </w:rPr>
            </w:pPr>
            <w:r>
              <w:rPr>
                <w:w w:val="105"/>
                <w:sz w:val="20"/>
                <w:szCs w:val="20"/>
                <w:lang w:val="ru-RU"/>
              </w:rPr>
              <w:t>Сумма излишне удержанного налоговым агентом налога по ставке 22% с части налоговой базы нерезидента РФ, превышающей 50 млн руб.</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3285" w:type="dxa"/>
            <w:gridSpan w:val="3"/>
            <w:vMerge w:val="restart"/>
            <w:vAlign w:val="center"/>
          </w:tcPr>
          <w:p>
            <w:pPr>
              <w:pStyle w:val="249"/>
              <w:ind w:right="70"/>
              <w:rPr>
                <w:sz w:val="20"/>
                <w:szCs w:val="20"/>
                <w:lang w:val="ru-RU"/>
              </w:rPr>
            </w:pPr>
            <w:r>
              <w:rPr>
                <w:w w:val="105"/>
                <w:sz w:val="20"/>
                <w:szCs w:val="20"/>
                <w:lang w:val="ru-RU"/>
              </w:rPr>
              <w:t>Возвращенный налоговым агентом налог по ставке 13% с налоговой базы нерезидента РФ в пределах 2,4 млн руб.</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restart"/>
            <w:vAlign w:val="center"/>
          </w:tcPr>
          <w:p>
            <w:pPr>
              <w:pStyle w:val="249"/>
              <w:ind w:right="39"/>
              <w:rPr>
                <w:sz w:val="20"/>
                <w:szCs w:val="20"/>
                <w:lang w:val="ru-RU"/>
              </w:rPr>
            </w:pPr>
            <w:r>
              <w:rPr>
                <w:w w:val="105"/>
                <w:sz w:val="20"/>
                <w:szCs w:val="20"/>
                <w:lang w:val="ru-RU"/>
              </w:rPr>
              <w:t>Возвращенный налоговым агентом налог по ставке 15% с части налоговой базы нерезидента РФ, превышающей 2,4 млн руб., но не более 5 млн руб.</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restart"/>
            <w:vAlign w:val="center"/>
          </w:tcPr>
          <w:p>
            <w:pPr>
              <w:pStyle w:val="249"/>
              <w:ind w:right="39"/>
              <w:rPr>
                <w:sz w:val="20"/>
                <w:szCs w:val="20"/>
                <w:lang w:val="ru-RU"/>
              </w:rPr>
            </w:pPr>
            <w:r>
              <w:rPr>
                <w:w w:val="105"/>
                <w:sz w:val="20"/>
                <w:szCs w:val="20"/>
                <w:lang w:val="ru-RU"/>
              </w:rPr>
              <w:t>Возвращенный налоговым агентом налог по ставке 18% с части налоговой базы нерезидента РФ, превышающей 5 млн руб., но не более 20 млн руб.</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restart"/>
            <w:vAlign w:val="center"/>
          </w:tcPr>
          <w:p>
            <w:pPr>
              <w:pStyle w:val="249"/>
              <w:rPr>
                <w:sz w:val="20"/>
                <w:szCs w:val="20"/>
                <w:lang w:val="ru-RU"/>
              </w:rPr>
            </w:pPr>
            <w:r>
              <w:rPr>
                <w:w w:val="105"/>
                <w:sz w:val="20"/>
                <w:szCs w:val="20"/>
                <w:lang w:val="ru-RU"/>
              </w:rPr>
              <w:t>Возвращенный налоговым агентом налог по ставке 20% с части налоговой базы нерезидента РФ, превышающей 20 млн руб., но не более 50 млн руб.</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3285" w:type="dxa"/>
            <w:gridSpan w:val="3"/>
            <w:vMerge w:val="restart"/>
            <w:vAlign w:val="center"/>
          </w:tcPr>
          <w:p>
            <w:pPr>
              <w:pStyle w:val="249"/>
              <w:rPr>
                <w:sz w:val="20"/>
                <w:szCs w:val="20"/>
                <w:lang w:val="ru-RU"/>
              </w:rPr>
            </w:pPr>
            <w:r>
              <w:rPr>
                <w:w w:val="105"/>
                <w:sz w:val="20"/>
                <w:szCs w:val="20"/>
                <w:lang w:val="ru-RU"/>
              </w:rPr>
              <w:t>Возвращенный налоговым агентом налог по ставке 22% с части налоговой базы нерезидента РФ, превышающей 50 млн руб.</w:t>
            </w:r>
          </w:p>
        </w:tc>
        <w:tc>
          <w:tcPr>
            <w:tcW w:w="1134" w:type="dxa"/>
            <w:vAlign w:val="center"/>
          </w:tcPr>
          <w:p>
            <w:pPr>
              <w:pStyle w:val="249"/>
              <w:rPr>
                <w:sz w:val="20"/>
                <w:szCs w:val="20"/>
              </w:rPr>
            </w:pPr>
            <w:r>
              <w:rPr>
                <w:w w:val="105"/>
                <w:sz w:val="20"/>
                <w:szCs w:val="20"/>
              </w:rPr>
              <w:t>Сумма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3285" w:type="dxa"/>
            <w:gridSpan w:val="3"/>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w w:val="105"/>
                <w:sz w:val="20"/>
                <w:szCs w:val="20"/>
              </w:rPr>
              <w:t>Дата</w:t>
            </w: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851" w:type="dxa"/>
            <w:vAlign w:val="center"/>
          </w:tcPr>
          <w:p>
            <w:pPr>
              <w:pStyle w:val="249"/>
              <w:ind w:left="3"/>
              <w:jc w:val="center"/>
              <w:rPr>
                <w:sz w:val="20"/>
                <w:szCs w:val="20"/>
              </w:rPr>
            </w:pPr>
            <w:r>
              <w:rPr>
                <w:w w:val="105"/>
                <w:sz w:val="20"/>
                <w:szCs w:val="20"/>
              </w:rPr>
              <w:t>X</w:t>
            </w:r>
          </w:p>
        </w:tc>
      </w:tr>
    </w:tbl>
    <w:p>
      <w:pPr>
        <w:spacing w:after="0" w:line="240" w:lineRule="auto"/>
        <w:rPr>
          <w:rFonts w:ascii="Times New Roman" w:hAnsi="Times New Roman"/>
          <w:sz w:val="20"/>
          <w:szCs w:val="20"/>
        </w:rPr>
      </w:pPr>
    </w:p>
    <w:p>
      <w:pPr>
        <w:spacing w:after="0" w:line="240" w:lineRule="auto"/>
        <w:jc w:val="both"/>
        <w:rPr>
          <w:rFonts w:ascii="Times New Roman" w:hAnsi="Times New Roman"/>
          <w:sz w:val="24"/>
          <w:szCs w:val="24"/>
        </w:rPr>
      </w:pPr>
      <w:r>
        <w:rPr>
          <w:rFonts w:ascii="Times New Roman" w:hAnsi="Times New Roman"/>
          <w:b/>
          <w:bCs/>
          <w:sz w:val="24"/>
          <w:szCs w:val="24"/>
          <w:vertAlign w:val="superscript"/>
        </w:rPr>
        <w:t>1</w:t>
      </w:r>
      <w:r>
        <w:rPr>
          <w:rFonts w:ascii="Times New Roman" w:hAnsi="Times New Roman"/>
          <w:w w:val="105"/>
          <w:sz w:val="24"/>
          <w:szCs w:val="24"/>
        </w:rPr>
        <w:t xml:space="preserve"> В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pPr>
        <w:spacing w:after="0" w:line="240" w:lineRule="auto"/>
        <w:jc w:val="both"/>
        <w:rPr>
          <w:rFonts w:ascii="Times New Roman" w:hAnsi="Times New Roman"/>
          <w:sz w:val="24"/>
          <w:szCs w:val="24"/>
        </w:rPr>
      </w:pPr>
      <w:r>
        <w:rPr>
          <w:rFonts w:ascii="Times New Roman" w:hAnsi="Times New Roman"/>
          <w:b/>
          <w:bCs/>
          <w:sz w:val="24"/>
          <w:szCs w:val="24"/>
          <w:vertAlign w:val="superscript"/>
        </w:rPr>
        <w:t>2</w:t>
      </w:r>
      <w:r>
        <w:rPr>
          <w:rFonts w:ascii="Times New Roman" w:hAnsi="Times New Roman"/>
          <w:w w:val="105"/>
          <w:sz w:val="24"/>
          <w:szCs w:val="24"/>
        </w:rPr>
        <w:t xml:space="preserve"> В строке указываются суммы, которые согласно ст. 217 НК РФ не подлежат налогообложению в пределах установленных лимитов.</w:t>
      </w:r>
    </w:p>
    <w:p>
      <w:pPr>
        <w:pStyle w:val="249"/>
        <w:ind w:left="0"/>
        <w:jc w:val="both"/>
        <w:rPr>
          <w:sz w:val="24"/>
          <w:szCs w:val="24"/>
          <w:lang w:val="ru-RU"/>
        </w:rPr>
      </w:pPr>
      <w:r>
        <w:rPr>
          <w:b/>
          <w:bCs/>
          <w:sz w:val="24"/>
          <w:szCs w:val="24"/>
          <w:vertAlign w:val="superscript"/>
          <w:lang w:val="ru-RU"/>
        </w:rPr>
        <w:t>3</w:t>
      </w:r>
      <w:r>
        <w:rPr>
          <w:w w:val="105"/>
          <w:sz w:val="24"/>
          <w:szCs w:val="24"/>
          <w:lang w:val="ru-RU"/>
        </w:rPr>
        <w:t xml:space="preserve"> 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p>
      <w:pPr>
        <w:spacing w:after="0" w:line="240" w:lineRule="auto"/>
        <w:rPr>
          <w:rFonts w:ascii="Times New Roman" w:hAnsi="Times New Roman"/>
          <w:sz w:val="24"/>
          <w:szCs w:val="24"/>
        </w:rPr>
      </w:pPr>
    </w:p>
    <w:p>
      <w:pPr>
        <w:tabs>
          <w:tab w:val="left" w:pos="851"/>
        </w:tabs>
        <w:spacing w:after="0" w:line="240" w:lineRule="auto"/>
        <w:rPr>
          <w:rFonts w:ascii="Times New Roman" w:hAnsi="Times New Roman"/>
          <w:b/>
          <w:sz w:val="24"/>
          <w:szCs w:val="24"/>
        </w:rPr>
      </w:pPr>
      <w:r>
        <w:rPr>
          <w:rFonts w:ascii="Times New Roman" w:hAnsi="Times New Roman"/>
          <w:b/>
          <w:sz w:val="24"/>
          <w:szCs w:val="24"/>
        </w:rPr>
        <w:t>5.2. Удержанный</w:t>
      </w:r>
      <w:r>
        <w:rPr>
          <w:rFonts w:ascii="Times New Roman" w:hAnsi="Times New Roman"/>
          <w:b/>
          <w:spacing w:val="-12"/>
          <w:sz w:val="24"/>
          <w:szCs w:val="24"/>
        </w:rPr>
        <w:t xml:space="preserve"> </w:t>
      </w:r>
      <w:r>
        <w:rPr>
          <w:rFonts w:ascii="Times New Roman" w:hAnsi="Times New Roman"/>
          <w:b/>
          <w:sz w:val="24"/>
          <w:szCs w:val="24"/>
        </w:rPr>
        <w:t>налог</w:t>
      </w:r>
      <w:r>
        <w:rPr>
          <w:rFonts w:ascii="Times New Roman" w:hAnsi="Times New Roman"/>
          <w:b/>
          <w:spacing w:val="-12"/>
          <w:sz w:val="24"/>
          <w:szCs w:val="24"/>
        </w:rPr>
        <w:t xml:space="preserve"> </w:t>
      </w:r>
      <w:r>
        <w:rPr>
          <w:rFonts w:ascii="Times New Roman" w:hAnsi="Times New Roman"/>
          <w:b/>
          <w:sz w:val="24"/>
          <w:szCs w:val="24"/>
        </w:rPr>
        <w:t>и</w:t>
      </w:r>
      <w:r>
        <w:rPr>
          <w:rFonts w:ascii="Times New Roman" w:hAnsi="Times New Roman"/>
          <w:b/>
          <w:spacing w:val="-12"/>
          <w:sz w:val="24"/>
          <w:szCs w:val="24"/>
        </w:rPr>
        <w:t xml:space="preserve"> </w:t>
      </w:r>
      <w:r>
        <w:rPr>
          <w:rFonts w:ascii="Times New Roman" w:hAnsi="Times New Roman"/>
          <w:b/>
          <w:sz w:val="24"/>
          <w:szCs w:val="24"/>
        </w:rPr>
        <w:t>налог,</w:t>
      </w:r>
      <w:r>
        <w:rPr>
          <w:rFonts w:ascii="Times New Roman" w:hAnsi="Times New Roman"/>
          <w:b/>
          <w:spacing w:val="-10"/>
          <w:sz w:val="24"/>
          <w:szCs w:val="24"/>
        </w:rPr>
        <w:t xml:space="preserve"> </w:t>
      </w:r>
      <w:r>
        <w:rPr>
          <w:rFonts w:ascii="Times New Roman" w:hAnsi="Times New Roman"/>
          <w:b/>
          <w:sz w:val="24"/>
          <w:szCs w:val="24"/>
        </w:rPr>
        <w:t>возвращенный</w:t>
      </w:r>
      <w:r>
        <w:rPr>
          <w:rFonts w:ascii="Times New Roman" w:hAnsi="Times New Roman"/>
          <w:b/>
          <w:spacing w:val="-12"/>
          <w:sz w:val="24"/>
          <w:szCs w:val="24"/>
        </w:rPr>
        <w:t xml:space="preserve"> </w:t>
      </w:r>
      <w:r>
        <w:rPr>
          <w:rFonts w:ascii="Times New Roman" w:hAnsi="Times New Roman"/>
          <w:b/>
          <w:sz w:val="24"/>
          <w:szCs w:val="24"/>
        </w:rPr>
        <w:t>налоговым</w:t>
      </w:r>
      <w:r>
        <w:rPr>
          <w:rFonts w:ascii="Times New Roman" w:hAnsi="Times New Roman"/>
          <w:b/>
          <w:spacing w:val="-10"/>
          <w:sz w:val="24"/>
          <w:szCs w:val="24"/>
        </w:rPr>
        <w:t xml:space="preserve"> </w:t>
      </w:r>
      <w:r>
        <w:rPr>
          <w:rFonts w:ascii="Times New Roman" w:hAnsi="Times New Roman"/>
          <w:b/>
          <w:sz w:val="24"/>
          <w:szCs w:val="24"/>
        </w:rPr>
        <w:t>агентом:</w:t>
      </w:r>
    </w:p>
    <w:p>
      <w:pPr>
        <w:spacing w:after="0" w:line="240" w:lineRule="auto"/>
        <w:rPr>
          <w:rFonts w:ascii="Times New Roman" w:hAnsi="Times New Roman"/>
          <w:b/>
          <w:sz w:val="24"/>
          <w:szCs w:val="24"/>
        </w:rPr>
      </w:pPr>
    </w:p>
    <w:tbl>
      <w:tblPr>
        <w:tblStyle w:val="248"/>
        <w:tblW w:w="15518"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5"/>
        <w:gridCol w:w="1134"/>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2" w:hRule="exact"/>
        </w:trPr>
        <w:tc>
          <w:tcPr>
            <w:tcW w:w="3469" w:type="dxa"/>
            <w:gridSpan w:val="2"/>
          </w:tcPr>
          <w:p>
            <w:pPr>
              <w:pStyle w:val="249"/>
              <w:ind w:left="0" w:right="-11"/>
              <w:jc w:val="center"/>
              <w:rPr>
                <w:sz w:val="20"/>
                <w:szCs w:val="20"/>
              </w:rPr>
            </w:pPr>
            <w:r>
              <w:rPr>
                <w:w w:val="105"/>
                <w:sz w:val="20"/>
                <w:szCs w:val="20"/>
              </w:rPr>
              <w:t>Показатель</w:t>
            </w:r>
          </w:p>
        </w:tc>
        <w:tc>
          <w:tcPr>
            <w:tcW w:w="481"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января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w:t>
            </w:r>
            <w:r>
              <w:rPr>
                <w:spacing w:val="-8"/>
                <w:w w:val="105"/>
                <w:sz w:val="20"/>
                <w:szCs w:val="20"/>
                <w:lang w:val="ru-RU"/>
              </w:rPr>
              <w:t xml:space="preserve"> </w:t>
            </w:r>
            <w:r>
              <w:rPr>
                <w:spacing w:val="-8"/>
                <w:w w:val="105"/>
                <w:sz w:val="20"/>
                <w:szCs w:val="20"/>
              </w:rPr>
              <w:t>января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февраля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28 (29)</w:t>
            </w:r>
            <w:r>
              <w:rPr>
                <w:spacing w:val="-8"/>
                <w:w w:val="105"/>
                <w:sz w:val="20"/>
                <w:szCs w:val="20"/>
                <w:lang w:val="ru-RU"/>
              </w:rPr>
              <w:t xml:space="preserve"> </w:t>
            </w:r>
            <w:r>
              <w:rPr>
                <w:spacing w:val="-8"/>
                <w:w w:val="105"/>
                <w:sz w:val="20"/>
                <w:szCs w:val="20"/>
              </w:rPr>
              <w:t>февраля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марта</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 марта</w:t>
            </w:r>
          </w:p>
        </w:tc>
        <w:tc>
          <w:tcPr>
            <w:tcW w:w="482" w:type="dxa"/>
          </w:tcPr>
          <w:p>
            <w:pPr>
              <w:pStyle w:val="249"/>
              <w:ind w:left="0" w:hanging="70"/>
              <w:jc w:val="center"/>
              <w:rPr>
                <w:spacing w:val="-8"/>
                <w:sz w:val="20"/>
                <w:szCs w:val="20"/>
              </w:rPr>
            </w:pPr>
            <w:r>
              <w:rPr>
                <w:spacing w:val="-8"/>
                <w:w w:val="105"/>
                <w:sz w:val="20"/>
                <w:szCs w:val="20"/>
              </w:rPr>
              <w:t>С 1 по 22 апреля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w w:val="105"/>
                <w:sz w:val="20"/>
                <w:szCs w:val="20"/>
              </w:rPr>
              <w:t>апреля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 мая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 мая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июня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w w:val="105"/>
                <w:sz w:val="20"/>
                <w:szCs w:val="20"/>
              </w:rPr>
              <w:t>июня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июля</w:t>
            </w:r>
          </w:p>
        </w:tc>
        <w:tc>
          <w:tcPr>
            <w:tcW w:w="482"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w:t>
            </w:r>
            <w:r>
              <w:rPr>
                <w:spacing w:val="-8"/>
                <w:w w:val="105"/>
                <w:sz w:val="20"/>
                <w:szCs w:val="20"/>
                <w:lang w:val="ru-RU"/>
              </w:rPr>
              <w:t xml:space="preserve"> </w:t>
            </w:r>
            <w:r>
              <w:rPr>
                <w:spacing w:val="-8"/>
                <w:w w:val="105"/>
                <w:sz w:val="20"/>
                <w:szCs w:val="20"/>
              </w:rPr>
              <w:t>июля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августа</w:t>
            </w:r>
          </w:p>
        </w:tc>
        <w:tc>
          <w:tcPr>
            <w:tcW w:w="482"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августа</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сентября</w:t>
            </w:r>
          </w:p>
        </w:tc>
        <w:tc>
          <w:tcPr>
            <w:tcW w:w="482"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30 сентября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октября</w:t>
            </w:r>
          </w:p>
        </w:tc>
        <w:tc>
          <w:tcPr>
            <w:tcW w:w="482"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октября</w:t>
            </w:r>
          </w:p>
        </w:tc>
        <w:tc>
          <w:tcPr>
            <w:tcW w:w="482" w:type="dxa"/>
          </w:tcPr>
          <w:p>
            <w:pPr>
              <w:pStyle w:val="249"/>
              <w:ind w:left="0"/>
              <w:jc w:val="center"/>
              <w:rPr>
                <w:spacing w:val="-8"/>
                <w:sz w:val="20"/>
                <w:szCs w:val="20"/>
              </w:rPr>
            </w:pPr>
            <w:r>
              <w:rPr>
                <w:spacing w:val="-8"/>
                <w:w w:val="105"/>
                <w:sz w:val="20"/>
                <w:szCs w:val="20"/>
              </w:rPr>
              <w:t>С 1</w:t>
            </w:r>
            <w:r>
              <w:rPr>
                <w:spacing w:val="-8"/>
                <w:w w:val="105"/>
                <w:sz w:val="20"/>
                <w:szCs w:val="20"/>
                <w:lang w:val="ru-RU"/>
              </w:rPr>
              <w:t xml:space="preserve"> </w:t>
            </w:r>
            <w:r>
              <w:rPr>
                <w:spacing w:val="-8"/>
                <w:w w:val="105"/>
                <w:sz w:val="20"/>
                <w:szCs w:val="20"/>
              </w:rPr>
              <w:t>по 22</w:t>
            </w:r>
            <w:r>
              <w:rPr>
                <w:spacing w:val="-8"/>
                <w:w w:val="105"/>
                <w:sz w:val="20"/>
                <w:szCs w:val="20"/>
                <w:lang w:val="ru-RU"/>
              </w:rPr>
              <w:t xml:space="preserve"> </w:t>
            </w:r>
            <w:r>
              <w:rPr>
                <w:spacing w:val="-8"/>
                <w:w w:val="105"/>
                <w:sz w:val="20"/>
                <w:szCs w:val="20"/>
              </w:rPr>
              <w:t>ноября</w:t>
            </w:r>
          </w:p>
        </w:tc>
        <w:tc>
          <w:tcPr>
            <w:tcW w:w="482"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30</w:t>
            </w:r>
            <w:r>
              <w:rPr>
                <w:spacing w:val="-8"/>
                <w:w w:val="105"/>
                <w:sz w:val="20"/>
                <w:szCs w:val="20"/>
                <w:lang w:val="ru-RU"/>
              </w:rPr>
              <w:t xml:space="preserve"> </w:t>
            </w:r>
            <w:r>
              <w:rPr>
                <w:spacing w:val="-8"/>
                <w:w w:val="105"/>
                <w:sz w:val="20"/>
                <w:szCs w:val="20"/>
              </w:rPr>
              <w:t>ноября</w:t>
            </w:r>
          </w:p>
        </w:tc>
        <w:tc>
          <w:tcPr>
            <w:tcW w:w="482"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декабря</w:t>
            </w:r>
          </w:p>
        </w:tc>
        <w:tc>
          <w:tcPr>
            <w:tcW w:w="482"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декабря</w:t>
            </w:r>
          </w:p>
        </w:tc>
        <w:tc>
          <w:tcPr>
            <w:tcW w:w="482" w:type="dxa"/>
          </w:tcPr>
          <w:p>
            <w:pPr>
              <w:pStyle w:val="249"/>
              <w:ind w:left="0"/>
              <w:jc w:val="center"/>
              <w:rPr>
                <w:spacing w:val="-8"/>
                <w:sz w:val="20"/>
                <w:szCs w:val="20"/>
              </w:rPr>
            </w:pPr>
            <w:r>
              <w:rPr>
                <w:spacing w:val="-8"/>
                <w:w w:val="105"/>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335" w:type="dxa"/>
            <w:vMerge w:val="restart"/>
            <w:vAlign w:val="center"/>
          </w:tcPr>
          <w:p>
            <w:pPr>
              <w:pStyle w:val="249"/>
              <w:rPr>
                <w:sz w:val="20"/>
                <w:szCs w:val="20"/>
                <w:lang w:val="ru-RU"/>
              </w:rPr>
            </w:pPr>
            <w:r>
              <w:rPr>
                <w:w w:val="105"/>
                <w:sz w:val="20"/>
                <w:szCs w:val="20"/>
                <w:lang w:val="ru-RU"/>
              </w:rPr>
              <w:t>Налог, удержанный по ставке 13% с совокупной налоговой базы нерезидента РФ в пределах 2,4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202"/>
              <w:rPr>
                <w:spacing w:val="-8"/>
                <w:sz w:val="20"/>
                <w:szCs w:val="20"/>
              </w:rPr>
            </w:pPr>
            <w:r>
              <w:rPr>
                <w:spacing w:val="-8"/>
                <w:w w:val="105"/>
                <w:sz w:val="20"/>
                <w:szCs w:val="20"/>
              </w:rPr>
              <w:t>Дата удержания</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restart"/>
            <w:vAlign w:val="center"/>
          </w:tcPr>
          <w:p>
            <w:pPr>
              <w:pStyle w:val="249"/>
              <w:rPr>
                <w:sz w:val="20"/>
                <w:szCs w:val="20"/>
                <w:lang w:val="ru-RU"/>
              </w:rPr>
            </w:pPr>
            <w:r>
              <w:rPr>
                <w:w w:val="105"/>
                <w:sz w:val="20"/>
                <w:szCs w:val="20"/>
                <w:lang w:val="ru-RU"/>
              </w:rPr>
              <w:t>Налог, удержанный по ставке 15% с совокупной налоговой базы нерезидента РФ, превышающей 2,4 млн руб., но не более 5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202"/>
              <w:rPr>
                <w:spacing w:val="-8"/>
                <w:sz w:val="20"/>
                <w:szCs w:val="20"/>
              </w:rPr>
            </w:pPr>
            <w:r>
              <w:rPr>
                <w:spacing w:val="-8"/>
                <w:w w:val="105"/>
                <w:sz w:val="20"/>
                <w:szCs w:val="20"/>
              </w:rPr>
              <w:t>Дата удержания</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restart"/>
            <w:vAlign w:val="center"/>
          </w:tcPr>
          <w:p>
            <w:pPr>
              <w:pStyle w:val="249"/>
              <w:rPr>
                <w:sz w:val="20"/>
                <w:szCs w:val="20"/>
                <w:lang w:val="ru-RU"/>
              </w:rPr>
            </w:pPr>
            <w:r>
              <w:rPr>
                <w:w w:val="105"/>
                <w:sz w:val="20"/>
                <w:szCs w:val="20"/>
                <w:lang w:val="ru-RU"/>
              </w:rPr>
              <w:t>Налог, удержанный по ставке 18% с совокупной налоговой базы нерезидента РФ, превышающей 5 млн руб., но не более 20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202"/>
              <w:rPr>
                <w:spacing w:val="-8"/>
                <w:sz w:val="20"/>
                <w:szCs w:val="20"/>
              </w:rPr>
            </w:pPr>
            <w:r>
              <w:rPr>
                <w:spacing w:val="-8"/>
                <w:w w:val="105"/>
                <w:sz w:val="20"/>
                <w:szCs w:val="20"/>
              </w:rPr>
              <w:t>Дата удержания</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restart"/>
            <w:vAlign w:val="center"/>
          </w:tcPr>
          <w:p>
            <w:pPr>
              <w:pStyle w:val="249"/>
              <w:ind w:right="70"/>
              <w:rPr>
                <w:sz w:val="20"/>
                <w:szCs w:val="20"/>
                <w:lang w:val="ru-RU"/>
              </w:rPr>
            </w:pPr>
            <w:r>
              <w:rPr>
                <w:w w:val="105"/>
                <w:sz w:val="20"/>
                <w:szCs w:val="20"/>
                <w:lang w:val="ru-RU"/>
              </w:rPr>
              <w:t>Налог, удержанный по ставке 20% с совокупной налоговой базы нерезидента РФ, превышающей 20 млн руб., но не более 50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202"/>
              <w:rPr>
                <w:spacing w:val="-8"/>
                <w:sz w:val="20"/>
                <w:szCs w:val="20"/>
              </w:rPr>
            </w:pPr>
            <w:r>
              <w:rPr>
                <w:spacing w:val="-8"/>
                <w:w w:val="105"/>
                <w:sz w:val="20"/>
                <w:szCs w:val="20"/>
              </w:rPr>
              <w:t>Дата удержания</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35" w:type="dxa"/>
            <w:vMerge w:val="restart"/>
            <w:vAlign w:val="center"/>
          </w:tcPr>
          <w:p>
            <w:pPr>
              <w:pStyle w:val="249"/>
              <w:rPr>
                <w:sz w:val="20"/>
                <w:szCs w:val="20"/>
                <w:lang w:val="ru-RU"/>
              </w:rPr>
            </w:pPr>
            <w:r>
              <w:rPr>
                <w:w w:val="105"/>
                <w:sz w:val="20"/>
                <w:szCs w:val="20"/>
                <w:lang w:val="ru-RU"/>
              </w:rPr>
              <w:t>Налог, удержанный по ставке 22% с совокупной налоговой базы нерезидента РФ, превышающей 50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35" w:type="dxa"/>
            <w:vMerge w:val="restart"/>
            <w:vAlign w:val="center"/>
          </w:tcPr>
          <w:p>
            <w:pPr>
              <w:pStyle w:val="249"/>
              <w:ind w:right="54"/>
              <w:rPr>
                <w:sz w:val="20"/>
                <w:szCs w:val="20"/>
                <w:lang w:val="ru-RU"/>
              </w:rPr>
            </w:pPr>
            <w:r>
              <w:rPr>
                <w:w w:val="105"/>
                <w:sz w:val="20"/>
                <w:szCs w:val="20"/>
                <w:lang w:val="ru-RU"/>
              </w:rPr>
              <w:t>Возвращенный налоговым агентом налог по ставке 13% с налоговой базы нерезидента РФ в пределах 2,4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restart"/>
            <w:vAlign w:val="center"/>
          </w:tcPr>
          <w:p>
            <w:pPr>
              <w:pStyle w:val="249"/>
              <w:rPr>
                <w:sz w:val="20"/>
                <w:szCs w:val="20"/>
                <w:lang w:val="ru-RU"/>
              </w:rPr>
            </w:pPr>
            <w:r>
              <w:rPr>
                <w:w w:val="105"/>
                <w:sz w:val="20"/>
                <w:szCs w:val="20"/>
                <w:lang w:val="ru-RU"/>
              </w:rPr>
              <w:t>Возвращенный налоговым агентом налог по ставке 15% с налоговой базы нерезидента РФ, превышающей 2,4 млн руб., но не более 5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restart"/>
            <w:vAlign w:val="center"/>
          </w:tcPr>
          <w:p>
            <w:pPr>
              <w:pStyle w:val="249"/>
              <w:rPr>
                <w:sz w:val="20"/>
                <w:szCs w:val="20"/>
                <w:lang w:val="ru-RU"/>
              </w:rPr>
            </w:pPr>
            <w:r>
              <w:rPr>
                <w:w w:val="105"/>
                <w:sz w:val="20"/>
                <w:szCs w:val="20"/>
                <w:lang w:val="ru-RU"/>
              </w:rPr>
              <w:t>Возвращенный налоговым агентом налог по ставке 18% с налоговой базы нерезидента РФ, превышающей 5 млн руб., но не более 20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restart"/>
            <w:vAlign w:val="center"/>
          </w:tcPr>
          <w:p>
            <w:pPr>
              <w:pStyle w:val="249"/>
              <w:ind w:right="30"/>
              <w:rPr>
                <w:sz w:val="20"/>
                <w:szCs w:val="20"/>
                <w:lang w:val="ru-RU"/>
              </w:rPr>
            </w:pPr>
            <w:r>
              <w:rPr>
                <w:w w:val="105"/>
                <w:sz w:val="20"/>
                <w:szCs w:val="20"/>
                <w:lang w:val="ru-RU"/>
              </w:rPr>
              <w:t>Возвращенный налоговым агентом налог по ставке 20% с налоговой базы нерезидента РФ, превышающей 20 млн руб., но не более 50 млн</w:t>
            </w:r>
            <w:r>
              <w:rPr>
                <w:spacing w:val="-1"/>
                <w:w w:val="105"/>
                <w:sz w:val="20"/>
                <w:szCs w:val="20"/>
                <w:lang w:val="ru-RU"/>
              </w:rPr>
              <w:t xml:space="preserve"> </w:t>
            </w:r>
            <w:r>
              <w:rPr>
                <w:w w:val="105"/>
                <w:sz w:val="20"/>
                <w:szCs w:val="20"/>
                <w:lang w:val="ru-RU"/>
              </w:rPr>
              <w:t>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restart"/>
            <w:vAlign w:val="center"/>
          </w:tcPr>
          <w:p>
            <w:pPr>
              <w:pStyle w:val="249"/>
              <w:rPr>
                <w:sz w:val="20"/>
                <w:szCs w:val="20"/>
                <w:lang w:val="ru-RU"/>
              </w:rPr>
            </w:pPr>
            <w:r>
              <w:rPr>
                <w:w w:val="105"/>
                <w:sz w:val="20"/>
                <w:szCs w:val="20"/>
                <w:lang w:val="ru-RU"/>
              </w:rPr>
              <w:t>Возвращенный налоговым агентом налог по ставке 22% с налоговой базы нерезидента РФ, превышающей 50 млн руб.</w:t>
            </w:r>
          </w:p>
        </w:tc>
        <w:tc>
          <w:tcPr>
            <w:tcW w:w="1134" w:type="dxa"/>
            <w:vAlign w:val="center"/>
          </w:tcPr>
          <w:p>
            <w:pPr>
              <w:pStyle w:val="249"/>
              <w:rPr>
                <w:spacing w:val="-8"/>
                <w:sz w:val="20"/>
                <w:szCs w:val="20"/>
              </w:rPr>
            </w:pPr>
            <w:r>
              <w:rPr>
                <w:spacing w:val="-8"/>
                <w:w w:val="105"/>
                <w:sz w:val="20"/>
                <w:szCs w:val="20"/>
              </w:rPr>
              <w:t>Сумма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335"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pacing w:val="-8"/>
                <w:sz w:val="20"/>
                <w:szCs w:val="20"/>
              </w:rPr>
            </w:pPr>
            <w:r>
              <w:rPr>
                <w:spacing w:val="-8"/>
                <w:w w:val="105"/>
                <w:sz w:val="20"/>
                <w:szCs w:val="20"/>
              </w:rPr>
              <w:t>Дата возврата</w:t>
            </w:r>
          </w:p>
        </w:tc>
        <w:tc>
          <w:tcPr>
            <w:tcW w:w="48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2" w:type="dxa"/>
            <w:vAlign w:val="center"/>
          </w:tcPr>
          <w:p>
            <w:pPr>
              <w:pStyle w:val="249"/>
              <w:ind w:left="0"/>
              <w:jc w:val="center"/>
              <w:rPr>
                <w:sz w:val="20"/>
                <w:szCs w:val="20"/>
              </w:rPr>
            </w:pPr>
            <w:r>
              <w:rPr>
                <w:w w:val="105"/>
                <w:sz w:val="20"/>
                <w:szCs w:val="20"/>
              </w:rPr>
              <w:t>X</w:t>
            </w:r>
          </w:p>
        </w:tc>
      </w:tr>
    </w:tbl>
    <w:p>
      <w:pPr>
        <w:spacing w:after="0" w:line="240" w:lineRule="auto"/>
        <w:rPr>
          <w:rFonts w:ascii="Times New Roman" w:hAnsi="Times New Roman"/>
          <w:b/>
          <w:sz w:val="20"/>
          <w:szCs w:val="20"/>
        </w:rPr>
      </w:pPr>
    </w:p>
    <w:tbl>
      <w:tblPr>
        <w:tblStyle w:val="30"/>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709"/>
        <w:gridCol w:w="390"/>
        <w:gridCol w:w="886"/>
        <w:gridCol w:w="456"/>
        <w:gridCol w:w="282"/>
        <w:gridCol w:w="396"/>
        <w:gridCol w:w="425"/>
        <w:gridCol w:w="992"/>
        <w:gridCol w:w="1418"/>
        <w:gridCol w:w="142"/>
        <w:gridCol w:w="567"/>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64" w:type="dxa"/>
            <w:gridSpan w:val="12"/>
          </w:tcPr>
          <w:p>
            <w:pPr>
              <w:tabs>
                <w:tab w:val="left" w:pos="492"/>
                <w:tab w:val="left" w:pos="5336"/>
                <w:tab w:val="left" w:pos="6714"/>
              </w:tabs>
              <w:spacing w:after="0" w:line="240" w:lineRule="auto"/>
              <w:rPr>
                <w:rFonts w:ascii="Times New Roman" w:hAnsi="Times New Roman"/>
                <w:sz w:val="24"/>
                <w:szCs w:val="24"/>
              </w:rPr>
            </w:pPr>
            <w:r>
              <w:rPr>
                <w:rFonts w:ascii="Times New Roman" w:hAnsi="Times New Roman"/>
                <w:b/>
                <w:sz w:val="24"/>
                <w:szCs w:val="24"/>
              </w:rPr>
              <w:t>5.3. Фиксированный</w:t>
            </w:r>
            <w:r>
              <w:rPr>
                <w:rFonts w:ascii="Times New Roman" w:hAnsi="Times New Roman"/>
                <w:b/>
                <w:spacing w:val="-7"/>
                <w:sz w:val="24"/>
                <w:szCs w:val="24"/>
              </w:rPr>
              <w:t xml:space="preserve"> </w:t>
            </w:r>
            <w:r>
              <w:rPr>
                <w:rFonts w:ascii="Times New Roman" w:hAnsi="Times New Roman"/>
                <w:b/>
                <w:sz w:val="24"/>
                <w:szCs w:val="24"/>
              </w:rPr>
              <w:t>авансовый</w:t>
            </w:r>
            <w:r>
              <w:rPr>
                <w:rFonts w:ascii="Times New Roman" w:hAnsi="Times New Roman"/>
                <w:b/>
                <w:spacing w:val="-7"/>
                <w:sz w:val="24"/>
                <w:szCs w:val="24"/>
              </w:rPr>
              <w:t xml:space="preserve"> </w:t>
            </w:r>
            <w:r>
              <w:rPr>
                <w:rFonts w:ascii="Times New Roman" w:hAnsi="Times New Roman"/>
                <w:b/>
                <w:sz w:val="24"/>
                <w:szCs w:val="24"/>
              </w:rPr>
              <w:t>платеж</w:t>
            </w:r>
            <w:r>
              <w:rPr>
                <w:rFonts w:ascii="Times New Roman" w:hAnsi="Times New Roman"/>
                <w:b/>
                <w:spacing w:val="-6"/>
                <w:sz w:val="24"/>
                <w:szCs w:val="24"/>
              </w:rPr>
              <w:t xml:space="preserve"> </w:t>
            </w:r>
            <w:r>
              <w:rPr>
                <w:rFonts w:ascii="Times New Roman" w:hAnsi="Times New Roman"/>
                <w:b/>
                <w:sz w:val="24"/>
                <w:szCs w:val="24"/>
              </w:rPr>
              <w:t>по</w:t>
            </w:r>
            <w:r>
              <w:rPr>
                <w:rFonts w:ascii="Times New Roman" w:hAnsi="Times New Roman"/>
                <w:b/>
                <w:spacing w:val="-8"/>
                <w:sz w:val="24"/>
                <w:szCs w:val="24"/>
              </w:rPr>
              <w:t xml:space="preserve"> </w:t>
            </w:r>
            <w:r>
              <w:rPr>
                <w:rFonts w:ascii="Times New Roman" w:hAnsi="Times New Roman"/>
                <w:b/>
                <w:sz w:val="24"/>
                <w:szCs w:val="24"/>
              </w:rPr>
              <w:t>НДФЛ</w:t>
            </w:r>
            <w:r>
              <w:rPr>
                <w:rFonts w:ascii="Times New Roman" w:hAnsi="Times New Roman"/>
                <w:b/>
                <w:spacing w:val="-6"/>
                <w:sz w:val="24"/>
                <w:szCs w:val="24"/>
              </w:rPr>
              <w:t xml:space="preserve"> </w:t>
            </w:r>
            <w:r>
              <w:rPr>
                <w:rFonts w:ascii="Times New Roman" w:hAnsi="Times New Roman"/>
                <w:b/>
                <w:sz w:val="24"/>
                <w:szCs w:val="24"/>
              </w:rPr>
              <w:t>(п.</w:t>
            </w:r>
            <w:r>
              <w:rPr>
                <w:rFonts w:ascii="Times New Roman" w:hAnsi="Times New Roman"/>
                <w:b/>
                <w:spacing w:val="-4"/>
                <w:sz w:val="24"/>
                <w:szCs w:val="24"/>
              </w:rPr>
              <w:t xml:space="preserve"> </w:t>
            </w:r>
            <w:r>
              <w:rPr>
                <w:rFonts w:ascii="Times New Roman" w:hAnsi="Times New Roman"/>
                <w:b/>
                <w:sz w:val="24"/>
                <w:szCs w:val="24"/>
              </w:rPr>
              <w:t>6</w:t>
            </w:r>
            <w:r>
              <w:rPr>
                <w:rFonts w:ascii="Times New Roman" w:hAnsi="Times New Roman"/>
                <w:b/>
                <w:spacing w:val="-6"/>
                <w:sz w:val="24"/>
                <w:szCs w:val="24"/>
              </w:rPr>
              <w:t xml:space="preserve"> </w:t>
            </w:r>
            <w:r>
              <w:rPr>
                <w:rFonts w:ascii="Times New Roman" w:hAnsi="Times New Roman"/>
                <w:b/>
                <w:sz w:val="24"/>
                <w:szCs w:val="24"/>
              </w:rPr>
              <w:t>ст.</w:t>
            </w:r>
            <w:r>
              <w:rPr>
                <w:rFonts w:ascii="Times New Roman" w:hAnsi="Times New Roman"/>
                <w:b/>
                <w:spacing w:val="-4"/>
                <w:sz w:val="24"/>
                <w:szCs w:val="24"/>
              </w:rPr>
              <w:t xml:space="preserve"> </w:t>
            </w:r>
            <w:r>
              <w:rPr>
                <w:rFonts w:ascii="Times New Roman" w:hAnsi="Times New Roman"/>
                <w:b/>
                <w:sz w:val="24"/>
                <w:szCs w:val="24"/>
              </w:rPr>
              <w:t>227.1</w:t>
            </w:r>
            <w:r>
              <w:rPr>
                <w:rFonts w:ascii="Times New Roman" w:hAnsi="Times New Roman"/>
                <w:b/>
                <w:spacing w:val="-6"/>
                <w:sz w:val="24"/>
                <w:szCs w:val="24"/>
              </w:rPr>
              <w:t xml:space="preserve"> </w:t>
            </w:r>
            <w:r>
              <w:rPr>
                <w:rFonts w:ascii="Times New Roman" w:hAnsi="Times New Roman"/>
                <w:b/>
                <w:sz w:val="24"/>
                <w:szCs w:val="24"/>
              </w:rPr>
              <w:t>НК</w:t>
            </w:r>
            <w:r>
              <w:rPr>
                <w:rFonts w:ascii="Times New Roman" w:hAnsi="Times New Roman"/>
                <w:b/>
                <w:spacing w:val="-6"/>
                <w:sz w:val="24"/>
                <w:szCs w:val="24"/>
              </w:rPr>
              <w:t xml:space="preserve"> </w:t>
            </w:r>
            <w:r>
              <w:rPr>
                <w:rFonts w:ascii="Times New Roman" w:hAnsi="Times New Roman"/>
                <w:b/>
                <w:sz w:val="24"/>
                <w:szCs w:val="24"/>
              </w:rPr>
              <w:t>РФ)</w:t>
            </w:r>
          </w:p>
        </w:tc>
        <w:tc>
          <w:tcPr>
            <w:tcW w:w="1559" w:type="dxa"/>
            <w:tcBorders>
              <w:bottom w:val="single" w:color="auto" w:sz="4" w:space="0"/>
            </w:tcBorders>
          </w:tcPr>
          <w:p>
            <w:pPr>
              <w:tabs>
                <w:tab w:val="left" w:pos="492"/>
                <w:tab w:val="left" w:pos="5336"/>
                <w:tab w:val="left" w:pos="6714"/>
              </w:tabs>
              <w:spacing w:after="0" w:line="240" w:lineRule="auto"/>
              <w:rPr>
                <w:rFonts w:ascii="Times New Roman" w:hAnsi="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364" w:type="dxa"/>
            <w:gridSpan w:val="12"/>
          </w:tcPr>
          <w:p>
            <w:pPr>
              <w:tabs>
                <w:tab w:val="left" w:pos="492"/>
                <w:tab w:val="left" w:pos="5336"/>
                <w:tab w:val="left" w:pos="6714"/>
              </w:tabs>
              <w:spacing w:after="0" w:line="240" w:lineRule="auto"/>
              <w:rPr>
                <w:rFonts w:ascii="Times New Roman" w:hAnsi="Times New Roman"/>
                <w:b/>
                <w:sz w:val="24"/>
                <w:szCs w:val="24"/>
              </w:rPr>
            </w:pPr>
          </w:p>
        </w:tc>
        <w:tc>
          <w:tcPr>
            <w:tcW w:w="1559" w:type="dxa"/>
            <w:tcBorders>
              <w:top w:val="single" w:color="auto" w:sz="4" w:space="0"/>
            </w:tcBorders>
          </w:tcPr>
          <w:p>
            <w:pPr>
              <w:tabs>
                <w:tab w:val="left" w:pos="492"/>
                <w:tab w:val="left" w:pos="5336"/>
                <w:tab w:val="left" w:pos="6714"/>
              </w:tabs>
              <w:spacing w:after="0" w:line="240" w:lineRule="auto"/>
              <w:jc w:val="center"/>
              <w:rPr>
                <w:rFonts w:ascii="Times New Roman" w:hAnsi="Times New Roman"/>
                <w:bCs/>
                <w:sz w:val="24"/>
                <w:szCs w:val="24"/>
              </w:rPr>
            </w:pPr>
            <w:r>
              <w:rPr>
                <w:rFonts w:ascii="Times New Roman" w:hAnsi="Times New Roman"/>
                <w:bCs/>
                <w:sz w:val="24"/>
                <w:szCs w:val="24"/>
              </w:rPr>
              <w:t>(есть/нет)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1" w:type="dxa"/>
          </w:tcPr>
          <w:p>
            <w:pPr>
              <w:pStyle w:val="3"/>
              <w:spacing w:after="0" w:line="240" w:lineRule="auto"/>
              <w:rPr>
                <w:rFonts w:ascii="Times New Roman" w:hAnsi="Times New Roman"/>
                <w:sz w:val="24"/>
                <w:szCs w:val="24"/>
              </w:rPr>
            </w:pPr>
            <w:r>
              <w:rPr>
                <w:rFonts w:ascii="Times New Roman" w:hAnsi="Times New Roman"/>
                <w:sz w:val="24"/>
                <w:szCs w:val="24"/>
              </w:rPr>
              <w:t>Патент серия</w:t>
            </w:r>
          </w:p>
        </w:tc>
        <w:tc>
          <w:tcPr>
            <w:tcW w:w="709" w:type="dxa"/>
            <w:tcBorders>
              <w:bottom w:val="single" w:color="auto" w:sz="4" w:space="0"/>
            </w:tcBorders>
          </w:tcPr>
          <w:p>
            <w:pPr>
              <w:pStyle w:val="3"/>
              <w:spacing w:after="0" w:line="240" w:lineRule="auto"/>
              <w:rPr>
                <w:rFonts w:ascii="Times New Roman" w:hAnsi="Times New Roman"/>
                <w:sz w:val="24"/>
                <w:szCs w:val="24"/>
              </w:rPr>
            </w:pPr>
          </w:p>
        </w:tc>
        <w:tc>
          <w:tcPr>
            <w:tcW w:w="390" w:type="dxa"/>
          </w:tcPr>
          <w:p>
            <w:pPr>
              <w:pStyle w:val="3"/>
              <w:spacing w:after="0" w:line="240" w:lineRule="auto"/>
              <w:rPr>
                <w:rFonts w:ascii="Times New Roman" w:hAnsi="Times New Roman"/>
                <w:sz w:val="24"/>
                <w:szCs w:val="24"/>
                <w:lang w:val="ru-RU"/>
              </w:rPr>
            </w:pPr>
            <w:r>
              <w:rPr>
                <w:rFonts w:ascii="Times New Roman" w:hAnsi="Times New Roman"/>
                <w:sz w:val="24"/>
                <w:szCs w:val="24"/>
                <w:lang w:val="ru-RU"/>
              </w:rPr>
              <w:t>№</w:t>
            </w:r>
          </w:p>
        </w:tc>
        <w:tc>
          <w:tcPr>
            <w:tcW w:w="1342" w:type="dxa"/>
            <w:gridSpan w:val="2"/>
            <w:tcBorders>
              <w:bottom w:val="single" w:color="auto" w:sz="4" w:space="0"/>
            </w:tcBorders>
          </w:tcPr>
          <w:p>
            <w:pPr>
              <w:pStyle w:val="3"/>
              <w:spacing w:after="0" w:line="240" w:lineRule="auto"/>
              <w:rPr>
                <w:rFonts w:ascii="Times New Roman" w:hAnsi="Times New Roman"/>
                <w:sz w:val="24"/>
                <w:szCs w:val="24"/>
              </w:rPr>
            </w:pPr>
          </w:p>
        </w:tc>
        <w:tc>
          <w:tcPr>
            <w:tcW w:w="2095" w:type="dxa"/>
            <w:gridSpan w:val="4"/>
          </w:tcPr>
          <w:p>
            <w:pPr>
              <w:pStyle w:val="3"/>
              <w:spacing w:after="0" w:line="240" w:lineRule="auto"/>
              <w:rPr>
                <w:rFonts w:ascii="Times New Roman" w:hAnsi="Times New Roman"/>
                <w:sz w:val="24"/>
                <w:szCs w:val="24"/>
              </w:rPr>
            </w:pPr>
            <w:r>
              <w:rPr>
                <w:rFonts w:ascii="Times New Roman" w:hAnsi="Times New Roman"/>
                <w:sz w:val="24"/>
                <w:szCs w:val="24"/>
              </w:rPr>
              <w:t>период действия</w:t>
            </w:r>
          </w:p>
        </w:tc>
        <w:tc>
          <w:tcPr>
            <w:tcW w:w="3686" w:type="dxa"/>
            <w:gridSpan w:val="4"/>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10" w:type="dxa"/>
            <w:gridSpan w:val="2"/>
          </w:tcPr>
          <w:p>
            <w:pPr>
              <w:pStyle w:val="3"/>
              <w:spacing w:after="0" w:line="240" w:lineRule="auto"/>
              <w:rPr>
                <w:rFonts w:ascii="Times New Roman" w:hAnsi="Times New Roman"/>
                <w:sz w:val="24"/>
                <w:szCs w:val="24"/>
              </w:rPr>
            </w:pPr>
            <w:r>
              <w:rPr>
                <w:rFonts w:ascii="Times New Roman" w:hAnsi="Times New Roman"/>
                <w:sz w:val="24"/>
                <w:szCs w:val="24"/>
              </w:rPr>
              <w:t>Номер уведомления</w:t>
            </w:r>
          </w:p>
        </w:tc>
        <w:tc>
          <w:tcPr>
            <w:tcW w:w="2014" w:type="dxa"/>
            <w:gridSpan w:val="4"/>
            <w:tcBorders>
              <w:bottom w:val="single" w:color="auto" w:sz="4" w:space="0"/>
            </w:tcBorders>
          </w:tcPr>
          <w:p>
            <w:pPr>
              <w:pStyle w:val="3"/>
              <w:spacing w:after="0" w:line="240" w:lineRule="auto"/>
              <w:rPr>
                <w:rFonts w:ascii="Times New Roman" w:hAnsi="Times New Roman"/>
                <w:sz w:val="24"/>
                <w:szCs w:val="24"/>
              </w:rPr>
            </w:pPr>
          </w:p>
        </w:tc>
        <w:tc>
          <w:tcPr>
            <w:tcW w:w="3231" w:type="dxa"/>
            <w:gridSpan w:val="4"/>
          </w:tcPr>
          <w:p>
            <w:pPr>
              <w:pStyle w:val="3"/>
              <w:spacing w:after="0" w:line="240" w:lineRule="auto"/>
              <w:rPr>
                <w:rFonts w:ascii="Times New Roman" w:hAnsi="Times New Roman"/>
                <w:sz w:val="24"/>
                <w:szCs w:val="24"/>
              </w:rPr>
            </w:pPr>
            <w:r>
              <w:rPr>
                <w:rFonts w:ascii="Times New Roman" w:hAnsi="Times New Roman"/>
                <w:sz w:val="24"/>
                <w:szCs w:val="24"/>
              </w:rPr>
              <w:t>Дата выдачи уведомления</w:t>
            </w:r>
          </w:p>
        </w:tc>
        <w:tc>
          <w:tcPr>
            <w:tcW w:w="2268" w:type="dxa"/>
            <w:gridSpan w:val="3"/>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45" w:type="dxa"/>
            <w:gridSpan w:val="8"/>
          </w:tcPr>
          <w:p>
            <w:pPr>
              <w:pStyle w:val="3"/>
              <w:spacing w:after="0" w:line="240" w:lineRule="auto"/>
              <w:rPr>
                <w:rFonts w:ascii="Times New Roman" w:hAnsi="Times New Roman"/>
                <w:sz w:val="24"/>
                <w:szCs w:val="24"/>
              </w:rPr>
            </w:pPr>
            <w:r>
              <w:rPr>
                <w:rFonts w:ascii="Times New Roman" w:hAnsi="Times New Roman"/>
                <w:sz w:val="24"/>
                <w:szCs w:val="24"/>
              </w:rPr>
              <w:t>Код налогового органа, выдавшего уведомление</w:t>
            </w:r>
          </w:p>
        </w:tc>
        <w:tc>
          <w:tcPr>
            <w:tcW w:w="4678" w:type="dxa"/>
            <w:gridSpan w:val="5"/>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gridSpan w:val="7"/>
          </w:tcPr>
          <w:p>
            <w:pPr>
              <w:pStyle w:val="3"/>
              <w:spacing w:after="0" w:line="240" w:lineRule="auto"/>
              <w:rPr>
                <w:rFonts w:ascii="Times New Roman" w:hAnsi="Times New Roman"/>
                <w:sz w:val="24"/>
                <w:szCs w:val="24"/>
              </w:rPr>
            </w:pPr>
            <w:r>
              <w:rPr>
                <w:rFonts w:ascii="Times New Roman" w:hAnsi="Times New Roman"/>
                <w:sz w:val="24"/>
                <w:szCs w:val="24"/>
              </w:rPr>
              <w:t>Сумма фиксированного авансового платежа</w:t>
            </w:r>
          </w:p>
        </w:tc>
        <w:tc>
          <w:tcPr>
            <w:tcW w:w="5103" w:type="dxa"/>
            <w:gridSpan w:val="6"/>
            <w:tcBorders>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797" w:type="dxa"/>
            <w:gridSpan w:val="11"/>
          </w:tcPr>
          <w:p>
            <w:pPr>
              <w:pStyle w:val="3"/>
              <w:spacing w:after="0" w:line="240" w:lineRule="auto"/>
              <w:rPr>
                <w:rFonts w:ascii="Times New Roman" w:hAnsi="Times New Roman"/>
                <w:sz w:val="24"/>
                <w:szCs w:val="24"/>
              </w:rPr>
            </w:pPr>
            <w:r>
              <w:rPr>
                <w:rFonts w:ascii="Times New Roman" w:hAnsi="Times New Roman"/>
                <w:sz w:val="24"/>
                <w:szCs w:val="24"/>
              </w:rPr>
              <w:t>Документ, подтверждающий уплату фиксированного авансового платежа</w:t>
            </w:r>
          </w:p>
        </w:tc>
        <w:tc>
          <w:tcPr>
            <w:tcW w:w="2126" w:type="dxa"/>
            <w:gridSpan w:val="2"/>
            <w:tcBorders>
              <w:top w:val="single" w:color="auto" w:sz="4" w:space="0"/>
              <w:bottom w:val="single" w:color="auto" w:sz="4" w:space="0"/>
            </w:tcBorders>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4"/>
          </w:tcPr>
          <w:p>
            <w:pPr>
              <w:pStyle w:val="3"/>
              <w:spacing w:after="0" w:line="240" w:lineRule="auto"/>
              <w:rPr>
                <w:rFonts w:ascii="Times New Roman" w:hAnsi="Times New Roman"/>
                <w:sz w:val="24"/>
                <w:szCs w:val="24"/>
              </w:rPr>
            </w:pPr>
            <w:r>
              <w:rPr>
                <w:rFonts w:ascii="Times New Roman" w:hAnsi="Times New Roman"/>
                <w:sz w:val="24"/>
                <w:szCs w:val="24"/>
              </w:rPr>
              <w:t>Заявление от налогоплательщика</w:t>
            </w:r>
          </w:p>
        </w:tc>
        <w:tc>
          <w:tcPr>
            <w:tcW w:w="6237" w:type="dxa"/>
            <w:gridSpan w:val="9"/>
          </w:tcPr>
          <w:p>
            <w:pPr>
              <w:pStyle w:val="3"/>
              <w:spacing w:after="0" w:line="240" w:lineRule="auto"/>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4"/>
          </w:tcPr>
          <w:p>
            <w:pPr>
              <w:pStyle w:val="3"/>
              <w:spacing w:after="0" w:line="240" w:lineRule="auto"/>
              <w:rPr>
                <w:rFonts w:ascii="Times New Roman" w:hAnsi="Times New Roman"/>
                <w:sz w:val="24"/>
                <w:szCs w:val="24"/>
              </w:rPr>
            </w:pPr>
          </w:p>
        </w:tc>
        <w:tc>
          <w:tcPr>
            <w:tcW w:w="6237" w:type="dxa"/>
            <w:gridSpan w:val="9"/>
            <w:tcBorders>
              <w:top w:val="single" w:color="auto" w:sz="4" w:space="0"/>
            </w:tcBorders>
          </w:tcPr>
          <w:p>
            <w:pPr>
              <w:pStyle w:val="3"/>
              <w:spacing w:after="0" w:line="240" w:lineRule="auto"/>
              <w:jc w:val="center"/>
              <w:rPr>
                <w:rFonts w:ascii="Times New Roman" w:hAnsi="Times New Roman"/>
                <w:sz w:val="24"/>
                <w:szCs w:val="24"/>
              </w:rPr>
            </w:pPr>
            <w:r>
              <w:rPr>
                <w:rFonts w:ascii="Times New Roman" w:hAnsi="Times New Roman"/>
                <w:sz w:val="24"/>
                <w:szCs w:val="24"/>
              </w:rPr>
              <w:t>(дд.мм.гггг)</w:t>
            </w:r>
          </w:p>
        </w:tc>
      </w:tr>
    </w:tbl>
    <w:p>
      <w:pPr>
        <w:spacing w:after="0" w:line="240" w:lineRule="auto"/>
        <w:rPr>
          <w:rFonts w:ascii="Times New Roman" w:hAnsi="Times New Roman"/>
          <w:sz w:val="24"/>
          <w:szCs w:val="24"/>
        </w:rPr>
      </w:pPr>
    </w:p>
    <w:p>
      <w:pPr>
        <w:pStyle w:val="3"/>
        <w:spacing w:after="0" w:line="240" w:lineRule="auto"/>
        <w:jc w:val="both"/>
        <w:rPr>
          <w:rFonts w:ascii="Times New Roman" w:hAnsi="Times New Roman"/>
          <w:b/>
          <w:sz w:val="24"/>
          <w:szCs w:val="24"/>
        </w:rPr>
      </w:pPr>
      <w:r>
        <w:rPr>
          <w:rFonts w:ascii="Times New Roman" w:hAnsi="Times New Roman"/>
          <w:b/>
          <w:sz w:val="24"/>
          <w:szCs w:val="24"/>
        </w:rPr>
        <w:t>Раздел 6. Доходы от долевого участия в деятельности организации (дивиденды), в отношении которых применяются ставки, установленные п. 1.1, абз. 2 п. 3 ст. 224 НК РФ, и сумма налога</w:t>
      </w:r>
    </w:p>
    <w:p>
      <w:pPr>
        <w:spacing w:after="0" w:line="240" w:lineRule="auto"/>
        <w:rPr>
          <w:rFonts w:ascii="Times New Roman" w:hAnsi="Times New Roman"/>
          <w:b/>
          <w:sz w:val="24"/>
          <w:szCs w:val="24"/>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425"/>
        <w:gridCol w:w="992"/>
        <w:gridCol w:w="970"/>
        <w:gridCol w:w="970"/>
        <w:gridCol w:w="971"/>
        <w:gridCol w:w="970"/>
        <w:gridCol w:w="971"/>
        <w:gridCol w:w="970"/>
        <w:gridCol w:w="971"/>
        <w:gridCol w:w="970"/>
        <w:gridCol w:w="971"/>
        <w:gridCol w:w="970"/>
        <w:gridCol w:w="971"/>
        <w:gridCol w:w="970"/>
        <w:gridCol w:w="971"/>
      </w:tblGrid>
      <w:tr>
        <w:tblPrEx>
          <w:tblLayout w:type="fixed"/>
          <w:tblCellMar>
            <w:top w:w="0" w:type="dxa"/>
            <w:left w:w="0" w:type="dxa"/>
            <w:bottom w:w="0" w:type="dxa"/>
            <w:right w:w="0" w:type="dxa"/>
          </w:tblCellMar>
        </w:tblPrEx>
        <w:trPr>
          <w:trHeight w:val="353" w:hRule="exact"/>
        </w:trPr>
        <w:tc>
          <w:tcPr>
            <w:tcW w:w="2860" w:type="dxa"/>
            <w:gridSpan w:val="3"/>
          </w:tcPr>
          <w:p>
            <w:pPr>
              <w:pStyle w:val="249"/>
              <w:ind w:left="0"/>
              <w:jc w:val="center"/>
              <w:rPr>
                <w:sz w:val="20"/>
                <w:szCs w:val="20"/>
              </w:rPr>
            </w:pPr>
            <w:r>
              <w:rPr>
                <w:w w:val="105"/>
                <w:sz w:val="20"/>
                <w:szCs w:val="20"/>
              </w:rPr>
              <w:t>Показатель</w:t>
            </w:r>
          </w:p>
        </w:tc>
        <w:tc>
          <w:tcPr>
            <w:tcW w:w="970" w:type="dxa"/>
          </w:tcPr>
          <w:p>
            <w:pPr>
              <w:pStyle w:val="249"/>
              <w:ind w:left="0"/>
              <w:jc w:val="center"/>
              <w:rPr>
                <w:sz w:val="20"/>
                <w:szCs w:val="20"/>
              </w:rPr>
            </w:pPr>
            <w:r>
              <w:rPr>
                <w:w w:val="105"/>
                <w:sz w:val="20"/>
                <w:szCs w:val="20"/>
              </w:rPr>
              <w:t>Январь</w:t>
            </w:r>
          </w:p>
        </w:tc>
        <w:tc>
          <w:tcPr>
            <w:tcW w:w="970" w:type="dxa"/>
          </w:tcPr>
          <w:p>
            <w:pPr>
              <w:pStyle w:val="249"/>
              <w:ind w:left="0"/>
              <w:jc w:val="center"/>
              <w:rPr>
                <w:sz w:val="20"/>
                <w:szCs w:val="20"/>
              </w:rPr>
            </w:pPr>
            <w:r>
              <w:rPr>
                <w:w w:val="105"/>
                <w:sz w:val="20"/>
                <w:szCs w:val="20"/>
              </w:rPr>
              <w:t>Февраль</w:t>
            </w:r>
          </w:p>
        </w:tc>
        <w:tc>
          <w:tcPr>
            <w:tcW w:w="971" w:type="dxa"/>
          </w:tcPr>
          <w:p>
            <w:pPr>
              <w:pStyle w:val="249"/>
              <w:ind w:left="0"/>
              <w:jc w:val="center"/>
              <w:rPr>
                <w:sz w:val="20"/>
                <w:szCs w:val="20"/>
              </w:rPr>
            </w:pPr>
            <w:r>
              <w:rPr>
                <w:w w:val="105"/>
                <w:sz w:val="20"/>
                <w:szCs w:val="20"/>
              </w:rPr>
              <w:t>Март</w:t>
            </w:r>
          </w:p>
        </w:tc>
        <w:tc>
          <w:tcPr>
            <w:tcW w:w="970" w:type="dxa"/>
          </w:tcPr>
          <w:p>
            <w:pPr>
              <w:pStyle w:val="249"/>
              <w:ind w:left="0"/>
              <w:jc w:val="center"/>
              <w:rPr>
                <w:sz w:val="20"/>
                <w:szCs w:val="20"/>
              </w:rPr>
            </w:pPr>
            <w:r>
              <w:rPr>
                <w:w w:val="105"/>
                <w:sz w:val="20"/>
                <w:szCs w:val="20"/>
              </w:rPr>
              <w:t>Апрель</w:t>
            </w:r>
          </w:p>
        </w:tc>
        <w:tc>
          <w:tcPr>
            <w:tcW w:w="971" w:type="dxa"/>
          </w:tcPr>
          <w:p>
            <w:pPr>
              <w:pStyle w:val="249"/>
              <w:ind w:left="0"/>
              <w:jc w:val="center"/>
              <w:rPr>
                <w:sz w:val="20"/>
                <w:szCs w:val="20"/>
              </w:rPr>
            </w:pPr>
            <w:r>
              <w:rPr>
                <w:w w:val="105"/>
                <w:sz w:val="20"/>
                <w:szCs w:val="20"/>
              </w:rPr>
              <w:t>Май</w:t>
            </w:r>
          </w:p>
        </w:tc>
        <w:tc>
          <w:tcPr>
            <w:tcW w:w="970" w:type="dxa"/>
          </w:tcPr>
          <w:p>
            <w:pPr>
              <w:pStyle w:val="249"/>
              <w:ind w:left="0"/>
              <w:jc w:val="center"/>
              <w:rPr>
                <w:sz w:val="20"/>
                <w:szCs w:val="20"/>
              </w:rPr>
            </w:pPr>
            <w:r>
              <w:rPr>
                <w:w w:val="105"/>
                <w:sz w:val="20"/>
                <w:szCs w:val="20"/>
              </w:rPr>
              <w:t>Июнь</w:t>
            </w:r>
          </w:p>
        </w:tc>
        <w:tc>
          <w:tcPr>
            <w:tcW w:w="971" w:type="dxa"/>
          </w:tcPr>
          <w:p>
            <w:pPr>
              <w:pStyle w:val="249"/>
              <w:ind w:left="0"/>
              <w:jc w:val="center"/>
              <w:rPr>
                <w:sz w:val="20"/>
                <w:szCs w:val="20"/>
              </w:rPr>
            </w:pPr>
            <w:r>
              <w:rPr>
                <w:w w:val="105"/>
                <w:sz w:val="20"/>
                <w:szCs w:val="20"/>
              </w:rPr>
              <w:t>Июль</w:t>
            </w:r>
          </w:p>
        </w:tc>
        <w:tc>
          <w:tcPr>
            <w:tcW w:w="970" w:type="dxa"/>
          </w:tcPr>
          <w:p>
            <w:pPr>
              <w:pStyle w:val="249"/>
              <w:ind w:left="0"/>
              <w:jc w:val="center"/>
              <w:rPr>
                <w:sz w:val="20"/>
                <w:szCs w:val="20"/>
              </w:rPr>
            </w:pPr>
            <w:r>
              <w:rPr>
                <w:w w:val="105"/>
                <w:sz w:val="20"/>
                <w:szCs w:val="20"/>
              </w:rPr>
              <w:t>Август</w:t>
            </w:r>
          </w:p>
        </w:tc>
        <w:tc>
          <w:tcPr>
            <w:tcW w:w="971" w:type="dxa"/>
          </w:tcPr>
          <w:p>
            <w:pPr>
              <w:pStyle w:val="249"/>
              <w:ind w:left="0"/>
              <w:jc w:val="center"/>
              <w:rPr>
                <w:sz w:val="20"/>
                <w:szCs w:val="20"/>
              </w:rPr>
            </w:pPr>
            <w:r>
              <w:rPr>
                <w:w w:val="105"/>
                <w:sz w:val="20"/>
                <w:szCs w:val="20"/>
              </w:rPr>
              <w:t>Сентябрь</w:t>
            </w:r>
          </w:p>
        </w:tc>
        <w:tc>
          <w:tcPr>
            <w:tcW w:w="970" w:type="dxa"/>
          </w:tcPr>
          <w:p>
            <w:pPr>
              <w:pStyle w:val="249"/>
              <w:ind w:left="0"/>
              <w:jc w:val="center"/>
              <w:rPr>
                <w:sz w:val="20"/>
                <w:szCs w:val="20"/>
              </w:rPr>
            </w:pPr>
            <w:r>
              <w:rPr>
                <w:w w:val="105"/>
                <w:sz w:val="20"/>
                <w:szCs w:val="20"/>
              </w:rPr>
              <w:t>Октябрь</w:t>
            </w:r>
          </w:p>
        </w:tc>
        <w:tc>
          <w:tcPr>
            <w:tcW w:w="971" w:type="dxa"/>
          </w:tcPr>
          <w:p>
            <w:pPr>
              <w:pStyle w:val="249"/>
              <w:ind w:left="0"/>
              <w:jc w:val="center"/>
              <w:rPr>
                <w:sz w:val="20"/>
                <w:szCs w:val="20"/>
              </w:rPr>
            </w:pPr>
            <w:r>
              <w:rPr>
                <w:w w:val="105"/>
                <w:sz w:val="20"/>
                <w:szCs w:val="20"/>
              </w:rPr>
              <w:t>Ноябрь</w:t>
            </w:r>
          </w:p>
        </w:tc>
        <w:tc>
          <w:tcPr>
            <w:tcW w:w="970" w:type="dxa"/>
          </w:tcPr>
          <w:p>
            <w:pPr>
              <w:pStyle w:val="249"/>
              <w:ind w:left="0"/>
              <w:jc w:val="center"/>
              <w:rPr>
                <w:sz w:val="20"/>
                <w:szCs w:val="20"/>
              </w:rPr>
            </w:pPr>
            <w:r>
              <w:rPr>
                <w:w w:val="105"/>
                <w:sz w:val="20"/>
                <w:szCs w:val="20"/>
              </w:rPr>
              <w:t>Декабрь</w:t>
            </w:r>
          </w:p>
        </w:tc>
        <w:tc>
          <w:tcPr>
            <w:tcW w:w="971" w:type="dxa"/>
          </w:tcPr>
          <w:p>
            <w:pPr>
              <w:pStyle w:val="249"/>
              <w:ind w:left="0"/>
              <w:jc w:val="center"/>
              <w:rPr>
                <w:sz w:val="20"/>
                <w:szCs w:val="20"/>
              </w:rPr>
            </w:pPr>
            <w:r>
              <w:rPr>
                <w:w w:val="105"/>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443" w:type="dxa"/>
            <w:vMerge w:val="restart"/>
            <w:vAlign w:val="center"/>
          </w:tcPr>
          <w:p>
            <w:pPr>
              <w:pStyle w:val="249"/>
              <w:rPr>
                <w:sz w:val="20"/>
                <w:szCs w:val="20"/>
              </w:rPr>
            </w:pPr>
            <w:r>
              <w:rPr>
                <w:w w:val="105"/>
                <w:sz w:val="20"/>
                <w:szCs w:val="20"/>
              </w:rPr>
              <w:t>Дивиденды (код дохода 1010)</w:t>
            </w:r>
          </w:p>
        </w:tc>
        <w:tc>
          <w:tcPr>
            <w:tcW w:w="1417" w:type="dxa"/>
            <w:gridSpan w:val="2"/>
            <w:vAlign w:val="center"/>
          </w:tcPr>
          <w:p>
            <w:pPr>
              <w:pStyle w:val="249"/>
              <w:rPr>
                <w:sz w:val="20"/>
                <w:szCs w:val="20"/>
              </w:rPr>
            </w:pPr>
            <w:r>
              <w:rPr>
                <w:w w:val="105"/>
                <w:sz w:val="20"/>
                <w:szCs w:val="20"/>
              </w:rPr>
              <w:t>Сумма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443"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417" w:type="dxa"/>
            <w:gridSpan w:val="2"/>
            <w:vAlign w:val="center"/>
          </w:tcPr>
          <w:p>
            <w:pPr>
              <w:pStyle w:val="249"/>
              <w:rPr>
                <w:sz w:val="20"/>
                <w:szCs w:val="20"/>
              </w:rPr>
            </w:pPr>
            <w:r>
              <w:rPr>
                <w:w w:val="105"/>
                <w:sz w:val="20"/>
                <w:szCs w:val="20"/>
              </w:rPr>
              <w:t>Дата получения дохода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pStyle w:val="249"/>
              <w:ind w:left="0"/>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2860" w:type="dxa"/>
            <w:gridSpan w:val="3"/>
            <w:vAlign w:val="center"/>
          </w:tcPr>
          <w:p>
            <w:pPr>
              <w:pStyle w:val="249"/>
              <w:rPr>
                <w:sz w:val="20"/>
                <w:szCs w:val="20"/>
              </w:rPr>
            </w:pPr>
            <w:r>
              <w:rPr>
                <w:w w:val="105"/>
                <w:sz w:val="20"/>
                <w:szCs w:val="20"/>
              </w:rPr>
              <w:t>Облагаемая сумма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1443" w:type="dxa"/>
            <w:vMerge w:val="restart"/>
            <w:vAlign w:val="center"/>
          </w:tcPr>
          <w:p>
            <w:pPr>
              <w:pStyle w:val="249"/>
              <w:rPr>
                <w:sz w:val="20"/>
                <w:szCs w:val="20"/>
                <w:lang w:val="ru-RU"/>
              </w:rPr>
            </w:pPr>
            <w:r>
              <w:rPr>
                <w:w w:val="105"/>
                <w:sz w:val="20"/>
                <w:szCs w:val="20"/>
                <w:lang w:val="ru-RU"/>
              </w:rPr>
              <w:t>Налоговая база (с начала года) по доходам резидента РФ от долевого участия</w:t>
            </w:r>
          </w:p>
        </w:tc>
        <w:tc>
          <w:tcPr>
            <w:tcW w:w="1417" w:type="dxa"/>
            <w:gridSpan w:val="2"/>
            <w:vAlign w:val="center"/>
          </w:tcPr>
          <w:p>
            <w:pPr>
              <w:pStyle w:val="249"/>
              <w:rPr>
                <w:sz w:val="20"/>
                <w:szCs w:val="20"/>
              </w:rPr>
            </w:pPr>
            <w:r>
              <w:rPr>
                <w:w w:val="105"/>
                <w:sz w:val="20"/>
                <w:szCs w:val="20"/>
              </w:rPr>
              <w:t>в пределах 2,4 млн руб.</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443"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417" w:type="dxa"/>
            <w:gridSpan w:val="2"/>
            <w:vAlign w:val="center"/>
          </w:tcPr>
          <w:p>
            <w:pPr>
              <w:pStyle w:val="249"/>
              <w:ind w:right="50"/>
              <w:rPr>
                <w:sz w:val="20"/>
                <w:szCs w:val="20"/>
                <w:lang w:val="ru-RU"/>
              </w:rPr>
            </w:pPr>
            <w:r>
              <w:rPr>
                <w:w w:val="105"/>
                <w:sz w:val="20"/>
                <w:szCs w:val="20"/>
                <w:lang w:val="ru-RU"/>
              </w:rPr>
              <w:t xml:space="preserve">в части, </w:t>
            </w:r>
            <w:r>
              <w:rPr>
                <w:sz w:val="20"/>
                <w:szCs w:val="20"/>
                <w:lang w:val="ru-RU"/>
              </w:rPr>
              <w:t xml:space="preserve">превышающей </w:t>
            </w:r>
            <w:r>
              <w:rPr>
                <w:w w:val="105"/>
                <w:sz w:val="20"/>
                <w:szCs w:val="20"/>
                <w:lang w:val="ru-RU"/>
              </w:rPr>
              <w:t>2,4 млн руб.</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trPr>
        <w:tc>
          <w:tcPr>
            <w:tcW w:w="1443" w:type="dxa"/>
            <w:vMerge w:val="continue"/>
            <w:vAlign w:val="center"/>
          </w:tcPr>
          <w:p>
            <w:pPr>
              <w:widowControl w:val="0"/>
              <w:autoSpaceDE w:val="0"/>
              <w:autoSpaceDN w:val="0"/>
              <w:spacing w:after="0" w:line="240" w:lineRule="auto"/>
              <w:rPr>
                <w:rFonts w:ascii="Times New Roman" w:hAnsi="Times New Roman"/>
                <w:sz w:val="20"/>
                <w:szCs w:val="20"/>
                <w:lang w:val="ru-RU"/>
              </w:rPr>
            </w:pPr>
          </w:p>
        </w:tc>
        <w:tc>
          <w:tcPr>
            <w:tcW w:w="1417" w:type="dxa"/>
            <w:gridSpan w:val="2"/>
            <w:vAlign w:val="center"/>
          </w:tcPr>
          <w:p>
            <w:pPr>
              <w:pStyle w:val="249"/>
              <w:rPr>
                <w:sz w:val="20"/>
                <w:szCs w:val="20"/>
              </w:rPr>
            </w:pPr>
            <w:r>
              <w:rPr>
                <w:w w:val="105"/>
                <w:sz w:val="20"/>
                <w:szCs w:val="20"/>
              </w:rPr>
              <w:t>Общая величина налоговой базы</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trPr>
        <w:tc>
          <w:tcPr>
            <w:tcW w:w="1443" w:type="dxa"/>
            <w:vMerge w:val="restart"/>
            <w:vAlign w:val="center"/>
          </w:tcPr>
          <w:p>
            <w:pPr>
              <w:pStyle w:val="249"/>
              <w:rPr>
                <w:sz w:val="20"/>
                <w:szCs w:val="20"/>
                <w:lang w:val="ru-RU"/>
              </w:rPr>
            </w:pPr>
            <w:r>
              <w:rPr>
                <w:w w:val="105"/>
                <w:sz w:val="20"/>
                <w:szCs w:val="20"/>
                <w:lang w:val="ru-RU"/>
              </w:rPr>
              <w:t>Сумма налога (с начала года), исчисленная с указанной налоговой базы резидента РФ</w:t>
            </w:r>
          </w:p>
        </w:tc>
        <w:tc>
          <w:tcPr>
            <w:tcW w:w="1417" w:type="dxa"/>
            <w:gridSpan w:val="2"/>
            <w:vAlign w:val="center"/>
          </w:tcPr>
          <w:p>
            <w:pPr>
              <w:pStyle w:val="249"/>
              <w:rPr>
                <w:sz w:val="20"/>
                <w:szCs w:val="20"/>
              </w:rPr>
            </w:pPr>
            <w:r>
              <w:rPr>
                <w:w w:val="105"/>
                <w:sz w:val="20"/>
                <w:szCs w:val="20"/>
              </w:rPr>
              <w:t>по ставке 13%</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trPr>
        <w:tc>
          <w:tcPr>
            <w:tcW w:w="1443"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417" w:type="dxa"/>
            <w:gridSpan w:val="2"/>
            <w:vAlign w:val="center"/>
          </w:tcPr>
          <w:p>
            <w:pPr>
              <w:pStyle w:val="249"/>
              <w:rPr>
                <w:sz w:val="20"/>
                <w:szCs w:val="20"/>
              </w:rPr>
            </w:pPr>
            <w:r>
              <w:rPr>
                <w:w w:val="105"/>
                <w:sz w:val="20"/>
                <w:szCs w:val="20"/>
              </w:rPr>
              <w:t>по ставке 15%</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atLeast"/>
        </w:trPr>
        <w:tc>
          <w:tcPr>
            <w:tcW w:w="2860" w:type="dxa"/>
            <w:gridSpan w:val="3"/>
            <w:vAlign w:val="center"/>
          </w:tcPr>
          <w:p>
            <w:pPr>
              <w:pStyle w:val="249"/>
              <w:rPr>
                <w:sz w:val="20"/>
                <w:szCs w:val="20"/>
                <w:lang w:val="ru-RU"/>
              </w:rPr>
            </w:pPr>
            <w:r>
              <w:rPr>
                <w:w w:val="105"/>
                <w:sz w:val="20"/>
                <w:szCs w:val="20"/>
                <w:lang w:val="ru-RU"/>
              </w:rPr>
              <w:t>Сумма налога на прибыль организаций, подлежащая зачету (п. 3.1 ст. 214 НК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2860" w:type="dxa"/>
            <w:gridSpan w:val="3"/>
            <w:vAlign w:val="center"/>
          </w:tcPr>
          <w:p>
            <w:pPr>
              <w:pStyle w:val="249"/>
              <w:rPr>
                <w:sz w:val="20"/>
                <w:szCs w:val="20"/>
                <w:lang w:val="ru-RU"/>
              </w:rPr>
            </w:pPr>
            <w:r>
              <w:rPr>
                <w:w w:val="105"/>
                <w:sz w:val="20"/>
                <w:szCs w:val="20"/>
                <w:lang w:val="ru-RU"/>
              </w:rPr>
              <w:t>Сумма налога, исчисленная и уплаченная в иностранном государстве (п. 2 ст. 214 НК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2860" w:type="dxa"/>
            <w:gridSpan w:val="3"/>
            <w:vAlign w:val="center"/>
          </w:tcPr>
          <w:p>
            <w:pPr>
              <w:pStyle w:val="249"/>
              <w:rPr>
                <w:sz w:val="20"/>
                <w:szCs w:val="20"/>
                <w:lang w:val="ru-RU"/>
              </w:rPr>
            </w:pPr>
            <w:r>
              <w:rPr>
                <w:w w:val="105"/>
                <w:sz w:val="20"/>
                <w:szCs w:val="20"/>
                <w:lang w:val="ru-RU"/>
              </w:rPr>
              <w:t>Налоговая база (с начала года) по доходам нерезидента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2860" w:type="dxa"/>
            <w:gridSpan w:val="3"/>
            <w:vAlign w:val="center"/>
          </w:tcPr>
          <w:p>
            <w:pPr>
              <w:pStyle w:val="249"/>
              <w:ind w:right="7"/>
              <w:rPr>
                <w:sz w:val="20"/>
                <w:szCs w:val="20"/>
                <w:lang w:val="ru-RU"/>
              </w:rPr>
            </w:pPr>
            <w:r>
              <w:rPr>
                <w:w w:val="105"/>
                <w:sz w:val="20"/>
                <w:szCs w:val="20"/>
                <w:lang w:val="ru-RU"/>
              </w:rPr>
              <w:t>Сумма налога (с начала года), исчисленная с налоговой базы налогового нерезидента по ставке 15%</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2860" w:type="dxa"/>
            <w:gridSpan w:val="3"/>
            <w:vAlign w:val="center"/>
          </w:tcPr>
          <w:p>
            <w:pPr>
              <w:pStyle w:val="249"/>
              <w:ind w:right="461"/>
              <w:rPr>
                <w:sz w:val="20"/>
                <w:szCs w:val="20"/>
                <w:lang w:val="ru-RU"/>
              </w:rPr>
            </w:pPr>
            <w:r>
              <w:rPr>
                <w:w w:val="105"/>
                <w:sz w:val="20"/>
                <w:szCs w:val="20"/>
                <w:lang w:val="ru-RU"/>
              </w:rPr>
              <w:t>Сумма</w:t>
            </w:r>
            <w:r>
              <w:rPr>
                <w:spacing w:val="-12"/>
                <w:w w:val="105"/>
                <w:sz w:val="20"/>
                <w:szCs w:val="20"/>
                <w:lang w:val="ru-RU"/>
              </w:rPr>
              <w:t xml:space="preserve"> </w:t>
            </w:r>
            <w:r>
              <w:rPr>
                <w:w w:val="105"/>
                <w:sz w:val="20"/>
                <w:szCs w:val="20"/>
                <w:lang w:val="ru-RU"/>
              </w:rPr>
              <w:t>налога,</w:t>
            </w:r>
            <w:r>
              <w:rPr>
                <w:spacing w:val="-12"/>
                <w:w w:val="105"/>
                <w:sz w:val="20"/>
                <w:szCs w:val="20"/>
                <w:lang w:val="ru-RU"/>
              </w:rPr>
              <w:t xml:space="preserve"> </w:t>
            </w:r>
            <w:r>
              <w:rPr>
                <w:w w:val="105"/>
                <w:sz w:val="20"/>
                <w:szCs w:val="20"/>
                <w:lang w:val="ru-RU"/>
              </w:rPr>
              <w:t>удержанного</w:t>
            </w:r>
            <w:r>
              <w:rPr>
                <w:spacing w:val="-12"/>
                <w:w w:val="105"/>
                <w:sz w:val="20"/>
                <w:szCs w:val="20"/>
                <w:lang w:val="ru-RU"/>
              </w:rPr>
              <w:t xml:space="preserve"> </w:t>
            </w:r>
            <w:r>
              <w:rPr>
                <w:w w:val="105"/>
                <w:sz w:val="20"/>
                <w:szCs w:val="20"/>
                <w:lang w:val="ru-RU"/>
              </w:rPr>
              <w:t>у резидента РФ по ставке 13%, нарастающим</w:t>
            </w:r>
            <w:r>
              <w:rPr>
                <w:spacing w:val="-14"/>
                <w:w w:val="105"/>
                <w:sz w:val="20"/>
                <w:szCs w:val="20"/>
                <w:lang w:val="ru-RU"/>
              </w:rPr>
              <w:t xml:space="preserve"> </w:t>
            </w:r>
            <w:r>
              <w:rPr>
                <w:w w:val="105"/>
                <w:sz w:val="20"/>
                <w:szCs w:val="20"/>
                <w:lang w:val="ru-RU"/>
              </w:rPr>
              <w:t>итогом</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2860" w:type="dxa"/>
            <w:gridSpan w:val="3"/>
            <w:vAlign w:val="center"/>
          </w:tcPr>
          <w:p>
            <w:pPr>
              <w:pStyle w:val="249"/>
              <w:ind w:right="461"/>
              <w:rPr>
                <w:sz w:val="20"/>
                <w:szCs w:val="20"/>
                <w:lang w:val="ru-RU"/>
              </w:rPr>
            </w:pPr>
            <w:r>
              <w:rPr>
                <w:w w:val="105"/>
                <w:sz w:val="20"/>
                <w:szCs w:val="20"/>
                <w:lang w:val="ru-RU"/>
              </w:rPr>
              <w:t>Сумма</w:t>
            </w:r>
            <w:r>
              <w:rPr>
                <w:spacing w:val="-12"/>
                <w:w w:val="105"/>
                <w:sz w:val="20"/>
                <w:szCs w:val="20"/>
                <w:lang w:val="ru-RU"/>
              </w:rPr>
              <w:t xml:space="preserve"> </w:t>
            </w:r>
            <w:r>
              <w:rPr>
                <w:w w:val="105"/>
                <w:sz w:val="20"/>
                <w:szCs w:val="20"/>
                <w:lang w:val="ru-RU"/>
              </w:rPr>
              <w:t>налога,</w:t>
            </w:r>
            <w:r>
              <w:rPr>
                <w:spacing w:val="-12"/>
                <w:w w:val="105"/>
                <w:sz w:val="20"/>
                <w:szCs w:val="20"/>
                <w:lang w:val="ru-RU"/>
              </w:rPr>
              <w:t xml:space="preserve"> </w:t>
            </w:r>
            <w:r>
              <w:rPr>
                <w:w w:val="105"/>
                <w:sz w:val="20"/>
                <w:szCs w:val="20"/>
                <w:lang w:val="ru-RU"/>
              </w:rPr>
              <w:t>удержанного</w:t>
            </w:r>
            <w:r>
              <w:rPr>
                <w:spacing w:val="-12"/>
                <w:w w:val="105"/>
                <w:sz w:val="20"/>
                <w:szCs w:val="20"/>
                <w:lang w:val="ru-RU"/>
              </w:rPr>
              <w:t xml:space="preserve"> </w:t>
            </w:r>
            <w:r>
              <w:rPr>
                <w:w w:val="105"/>
                <w:sz w:val="20"/>
                <w:szCs w:val="20"/>
                <w:lang w:val="ru-RU"/>
              </w:rPr>
              <w:t>у резидента РФ по ставке 15%, нарастающим</w:t>
            </w:r>
            <w:r>
              <w:rPr>
                <w:spacing w:val="-14"/>
                <w:w w:val="105"/>
                <w:sz w:val="20"/>
                <w:szCs w:val="20"/>
                <w:lang w:val="ru-RU"/>
              </w:rPr>
              <w:t xml:space="preserve"> </w:t>
            </w:r>
            <w:r>
              <w:rPr>
                <w:w w:val="105"/>
                <w:sz w:val="20"/>
                <w:szCs w:val="20"/>
                <w:lang w:val="ru-RU"/>
              </w:rPr>
              <w:t>итогом</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860" w:type="dxa"/>
            <w:gridSpan w:val="3"/>
            <w:vAlign w:val="center"/>
          </w:tcPr>
          <w:p>
            <w:pPr>
              <w:pStyle w:val="249"/>
              <w:rPr>
                <w:sz w:val="20"/>
                <w:szCs w:val="20"/>
                <w:lang w:val="ru-RU"/>
              </w:rPr>
            </w:pPr>
            <w:r>
              <w:rPr>
                <w:w w:val="105"/>
                <w:sz w:val="20"/>
                <w:szCs w:val="20"/>
                <w:lang w:val="ru-RU"/>
              </w:rPr>
              <w:t>Сумма налога, удержанного у нерезидента РФ по ставке 15% нарастающим итогом</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2860" w:type="dxa"/>
            <w:gridSpan w:val="3"/>
            <w:vAlign w:val="center"/>
          </w:tcPr>
          <w:p>
            <w:pPr>
              <w:pStyle w:val="249"/>
              <w:ind w:right="7"/>
              <w:rPr>
                <w:sz w:val="20"/>
                <w:szCs w:val="20"/>
                <w:lang w:val="ru-RU"/>
              </w:rPr>
            </w:pPr>
            <w:r>
              <w:rPr>
                <w:w w:val="105"/>
                <w:sz w:val="20"/>
                <w:szCs w:val="20"/>
                <w:lang w:val="ru-RU"/>
              </w:rPr>
              <w:t>Сумма</w:t>
            </w:r>
            <w:r>
              <w:rPr>
                <w:spacing w:val="-8"/>
                <w:w w:val="105"/>
                <w:sz w:val="20"/>
                <w:szCs w:val="20"/>
                <w:lang w:val="ru-RU"/>
              </w:rPr>
              <w:t xml:space="preserve"> </w:t>
            </w:r>
            <w:r>
              <w:rPr>
                <w:w w:val="105"/>
                <w:sz w:val="20"/>
                <w:szCs w:val="20"/>
                <w:lang w:val="ru-RU"/>
              </w:rPr>
              <w:t>дохода,</w:t>
            </w:r>
            <w:r>
              <w:rPr>
                <w:spacing w:val="-8"/>
                <w:w w:val="105"/>
                <w:sz w:val="20"/>
                <w:szCs w:val="20"/>
                <w:lang w:val="ru-RU"/>
              </w:rPr>
              <w:t xml:space="preserve"> </w:t>
            </w:r>
            <w:r>
              <w:rPr>
                <w:w w:val="105"/>
                <w:sz w:val="20"/>
                <w:szCs w:val="20"/>
                <w:lang w:val="ru-RU"/>
              </w:rPr>
              <w:t>с</w:t>
            </w:r>
            <w:r>
              <w:rPr>
                <w:spacing w:val="-8"/>
                <w:w w:val="105"/>
                <w:sz w:val="20"/>
                <w:szCs w:val="20"/>
                <w:lang w:val="ru-RU"/>
              </w:rPr>
              <w:t xml:space="preserve"> </w:t>
            </w:r>
            <w:r>
              <w:rPr>
                <w:w w:val="105"/>
                <w:sz w:val="20"/>
                <w:szCs w:val="20"/>
                <w:lang w:val="ru-RU"/>
              </w:rPr>
              <w:t>которого</w:t>
            </w:r>
            <w:r>
              <w:rPr>
                <w:spacing w:val="-8"/>
                <w:w w:val="105"/>
                <w:sz w:val="20"/>
                <w:szCs w:val="20"/>
                <w:lang w:val="ru-RU"/>
              </w:rPr>
              <w:t xml:space="preserve"> </w:t>
            </w:r>
            <w:r>
              <w:rPr>
                <w:w w:val="105"/>
                <w:sz w:val="20"/>
                <w:szCs w:val="20"/>
                <w:lang w:val="ru-RU"/>
              </w:rPr>
              <w:t>у</w:t>
            </w:r>
            <w:r>
              <w:rPr>
                <w:spacing w:val="-14"/>
                <w:w w:val="105"/>
                <w:sz w:val="20"/>
                <w:szCs w:val="20"/>
                <w:lang w:val="ru-RU"/>
              </w:rPr>
              <w:t xml:space="preserve"> </w:t>
            </w:r>
            <w:r>
              <w:rPr>
                <w:w w:val="105"/>
                <w:sz w:val="20"/>
                <w:szCs w:val="20"/>
                <w:lang w:val="ru-RU"/>
              </w:rPr>
              <w:t>резидента РФ налоговым агентом не удержан налог по ставке</w:t>
            </w:r>
            <w:r>
              <w:rPr>
                <w:spacing w:val="-14"/>
                <w:w w:val="105"/>
                <w:sz w:val="20"/>
                <w:szCs w:val="20"/>
                <w:lang w:val="ru-RU"/>
              </w:rPr>
              <w:t xml:space="preserve"> </w:t>
            </w:r>
            <w:r>
              <w:rPr>
                <w:w w:val="105"/>
                <w:sz w:val="20"/>
                <w:szCs w:val="20"/>
                <w:lang w:val="ru-RU"/>
              </w:rPr>
              <w:t>13%</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860" w:type="dxa"/>
            <w:gridSpan w:val="3"/>
            <w:vAlign w:val="center"/>
          </w:tcPr>
          <w:p>
            <w:pPr>
              <w:pStyle w:val="249"/>
              <w:ind w:right="203"/>
              <w:rPr>
                <w:sz w:val="20"/>
                <w:szCs w:val="20"/>
                <w:lang w:val="ru-RU"/>
              </w:rPr>
            </w:pPr>
            <w:r>
              <w:rPr>
                <w:w w:val="105"/>
                <w:sz w:val="20"/>
                <w:szCs w:val="20"/>
                <w:lang w:val="ru-RU"/>
              </w:rPr>
              <w:t>Сумма</w:t>
            </w:r>
            <w:r>
              <w:rPr>
                <w:spacing w:val="-12"/>
                <w:w w:val="105"/>
                <w:sz w:val="20"/>
                <w:szCs w:val="20"/>
                <w:lang w:val="ru-RU"/>
              </w:rPr>
              <w:t xml:space="preserve"> </w:t>
            </w:r>
            <w:r>
              <w:rPr>
                <w:w w:val="105"/>
                <w:sz w:val="20"/>
                <w:szCs w:val="20"/>
                <w:lang w:val="ru-RU"/>
              </w:rPr>
              <w:t>не</w:t>
            </w:r>
            <w:r>
              <w:rPr>
                <w:spacing w:val="-12"/>
                <w:w w:val="105"/>
                <w:sz w:val="20"/>
                <w:szCs w:val="20"/>
                <w:lang w:val="ru-RU"/>
              </w:rPr>
              <w:t xml:space="preserve"> </w:t>
            </w:r>
            <w:r>
              <w:rPr>
                <w:w w:val="105"/>
                <w:sz w:val="20"/>
                <w:szCs w:val="20"/>
                <w:lang w:val="ru-RU"/>
              </w:rPr>
              <w:t>удержанного</w:t>
            </w:r>
            <w:r>
              <w:rPr>
                <w:spacing w:val="-12"/>
                <w:w w:val="105"/>
                <w:sz w:val="20"/>
                <w:szCs w:val="20"/>
                <w:lang w:val="ru-RU"/>
              </w:rPr>
              <w:t xml:space="preserve"> </w:t>
            </w:r>
            <w:r>
              <w:rPr>
                <w:w w:val="105"/>
                <w:sz w:val="20"/>
                <w:szCs w:val="20"/>
                <w:lang w:val="ru-RU"/>
              </w:rPr>
              <w:t>налоговым агентом</w:t>
            </w:r>
            <w:r>
              <w:rPr>
                <w:spacing w:val="-4"/>
                <w:w w:val="105"/>
                <w:sz w:val="20"/>
                <w:szCs w:val="20"/>
                <w:lang w:val="ru-RU"/>
              </w:rPr>
              <w:t xml:space="preserve"> </w:t>
            </w:r>
            <w:r>
              <w:rPr>
                <w:w w:val="105"/>
                <w:sz w:val="20"/>
                <w:szCs w:val="20"/>
                <w:lang w:val="ru-RU"/>
              </w:rPr>
              <w:t>у</w:t>
            </w:r>
            <w:r>
              <w:rPr>
                <w:spacing w:val="-11"/>
                <w:w w:val="105"/>
                <w:sz w:val="20"/>
                <w:szCs w:val="20"/>
                <w:lang w:val="ru-RU"/>
              </w:rPr>
              <w:t xml:space="preserve"> </w:t>
            </w:r>
            <w:r>
              <w:rPr>
                <w:w w:val="105"/>
                <w:sz w:val="20"/>
                <w:szCs w:val="20"/>
                <w:lang w:val="ru-RU"/>
              </w:rPr>
              <w:t>резидента</w:t>
            </w:r>
            <w:r>
              <w:rPr>
                <w:spacing w:val="-4"/>
                <w:w w:val="105"/>
                <w:sz w:val="20"/>
                <w:szCs w:val="20"/>
                <w:lang w:val="ru-RU"/>
              </w:rPr>
              <w:t xml:space="preserve"> </w:t>
            </w:r>
            <w:r>
              <w:rPr>
                <w:w w:val="105"/>
                <w:sz w:val="20"/>
                <w:szCs w:val="20"/>
                <w:lang w:val="ru-RU"/>
              </w:rPr>
              <w:t>РФ</w:t>
            </w:r>
            <w:r>
              <w:rPr>
                <w:spacing w:val="-4"/>
                <w:w w:val="105"/>
                <w:sz w:val="20"/>
                <w:szCs w:val="20"/>
                <w:lang w:val="ru-RU"/>
              </w:rPr>
              <w:t xml:space="preserve"> </w:t>
            </w:r>
            <w:r>
              <w:rPr>
                <w:w w:val="105"/>
                <w:sz w:val="20"/>
                <w:szCs w:val="20"/>
                <w:lang w:val="ru-RU"/>
              </w:rPr>
              <w:t>налога</w:t>
            </w:r>
            <w:r>
              <w:rPr>
                <w:spacing w:val="-4"/>
                <w:w w:val="105"/>
                <w:sz w:val="20"/>
                <w:szCs w:val="20"/>
                <w:lang w:val="ru-RU"/>
              </w:rPr>
              <w:t xml:space="preserve"> </w:t>
            </w:r>
            <w:r>
              <w:rPr>
                <w:w w:val="105"/>
                <w:sz w:val="20"/>
                <w:szCs w:val="20"/>
                <w:lang w:val="ru-RU"/>
              </w:rPr>
              <w:t>по ставке</w:t>
            </w:r>
            <w:r>
              <w:rPr>
                <w:spacing w:val="-7"/>
                <w:w w:val="105"/>
                <w:sz w:val="20"/>
                <w:szCs w:val="20"/>
                <w:lang w:val="ru-RU"/>
              </w:rPr>
              <w:t xml:space="preserve"> </w:t>
            </w:r>
            <w:r>
              <w:rPr>
                <w:w w:val="105"/>
                <w:sz w:val="20"/>
                <w:szCs w:val="20"/>
                <w:lang w:val="ru-RU"/>
              </w:rPr>
              <w:t>13%</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2860" w:type="dxa"/>
            <w:gridSpan w:val="3"/>
            <w:vAlign w:val="center"/>
          </w:tcPr>
          <w:p>
            <w:pPr>
              <w:pStyle w:val="249"/>
              <w:ind w:right="7"/>
              <w:rPr>
                <w:sz w:val="20"/>
                <w:szCs w:val="20"/>
                <w:lang w:val="ru-RU"/>
              </w:rPr>
            </w:pPr>
            <w:r>
              <w:rPr>
                <w:w w:val="105"/>
                <w:sz w:val="20"/>
                <w:szCs w:val="20"/>
                <w:lang w:val="ru-RU"/>
              </w:rPr>
              <w:t>Сумма</w:t>
            </w:r>
            <w:r>
              <w:rPr>
                <w:spacing w:val="-8"/>
                <w:w w:val="105"/>
                <w:sz w:val="20"/>
                <w:szCs w:val="20"/>
                <w:lang w:val="ru-RU"/>
              </w:rPr>
              <w:t xml:space="preserve"> </w:t>
            </w:r>
            <w:r>
              <w:rPr>
                <w:w w:val="105"/>
                <w:sz w:val="20"/>
                <w:szCs w:val="20"/>
                <w:lang w:val="ru-RU"/>
              </w:rPr>
              <w:t>дохода,</w:t>
            </w:r>
            <w:r>
              <w:rPr>
                <w:spacing w:val="-8"/>
                <w:w w:val="105"/>
                <w:sz w:val="20"/>
                <w:szCs w:val="20"/>
                <w:lang w:val="ru-RU"/>
              </w:rPr>
              <w:t xml:space="preserve"> </w:t>
            </w:r>
            <w:r>
              <w:rPr>
                <w:w w:val="105"/>
                <w:sz w:val="20"/>
                <w:szCs w:val="20"/>
                <w:lang w:val="ru-RU"/>
              </w:rPr>
              <w:t>с</w:t>
            </w:r>
            <w:r>
              <w:rPr>
                <w:spacing w:val="-8"/>
                <w:w w:val="105"/>
                <w:sz w:val="20"/>
                <w:szCs w:val="20"/>
                <w:lang w:val="ru-RU"/>
              </w:rPr>
              <w:t xml:space="preserve"> </w:t>
            </w:r>
            <w:r>
              <w:rPr>
                <w:w w:val="105"/>
                <w:sz w:val="20"/>
                <w:szCs w:val="20"/>
                <w:lang w:val="ru-RU"/>
              </w:rPr>
              <w:t>которого</w:t>
            </w:r>
            <w:r>
              <w:rPr>
                <w:spacing w:val="-8"/>
                <w:w w:val="105"/>
                <w:sz w:val="20"/>
                <w:szCs w:val="20"/>
                <w:lang w:val="ru-RU"/>
              </w:rPr>
              <w:t xml:space="preserve"> </w:t>
            </w:r>
            <w:r>
              <w:rPr>
                <w:w w:val="105"/>
                <w:sz w:val="20"/>
                <w:szCs w:val="20"/>
                <w:lang w:val="ru-RU"/>
              </w:rPr>
              <w:t>у</w:t>
            </w:r>
            <w:r>
              <w:rPr>
                <w:spacing w:val="-14"/>
                <w:w w:val="105"/>
                <w:sz w:val="20"/>
                <w:szCs w:val="20"/>
                <w:lang w:val="ru-RU"/>
              </w:rPr>
              <w:t xml:space="preserve"> </w:t>
            </w:r>
            <w:r>
              <w:rPr>
                <w:w w:val="105"/>
                <w:sz w:val="20"/>
                <w:szCs w:val="20"/>
                <w:lang w:val="ru-RU"/>
              </w:rPr>
              <w:t>резидента РФ налоговым агентом не удержан налог по ставке</w:t>
            </w:r>
            <w:r>
              <w:rPr>
                <w:spacing w:val="-14"/>
                <w:w w:val="105"/>
                <w:sz w:val="20"/>
                <w:szCs w:val="20"/>
                <w:lang w:val="ru-RU"/>
              </w:rPr>
              <w:t xml:space="preserve"> </w:t>
            </w:r>
            <w:r>
              <w:rPr>
                <w:w w:val="105"/>
                <w:sz w:val="20"/>
                <w:szCs w:val="20"/>
                <w:lang w:val="ru-RU"/>
              </w:rPr>
              <w:t>15%</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trPr>
        <w:tc>
          <w:tcPr>
            <w:tcW w:w="2860" w:type="dxa"/>
            <w:gridSpan w:val="3"/>
            <w:vAlign w:val="center"/>
          </w:tcPr>
          <w:p>
            <w:pPr>
              <w:pStyle w:val="249"/>
              <w:ind w:right="203"/>
              <w:rPr>
                <w:sz w:val="20"/>
                <w:szCs w:val="20"/>
                <w:lang w:val="ru-RU"/>
              </w:rPr>
            </w:pPr>
            <w:r>
              <w:rPr>
                <w:w w:val="105"/>
                <w:sz w:val="20"/>
                <w:szCs w:val="20"/>
                <w:lang w:val="ru-RU"/>
              </w:rPr>
              <w:t>Сумма</w:t>
            </w:r>
            <w:r>
              <w:rPr>
                <w:spacing w:val="-12"/>
                <w:w w:val="105"/>
                <w:sz w:val="20"/>
                <w:szCs w:val="20"/>
                <w:lang w:val="ru-RU"/>
              </w:rPr>
              <w:t xml:space="preserve"> </w:t>
            </w:r>
            <w:r>
              <w:rPr>
                <w:w w:val="105"/>
                <w:sz w:val="20"/>
                <w:szCs w:val="20"/>
                <w:lang w:val="ru-RU"/>
              </w:rPr>
              <w:t>не</w:t>
            </w:r>
            <w:r>
              <w:rPr>
                <w:spacing w:val="-12"/>
                <w:w w:val="105"/>
                <w:sz w:val="20"/>
                <w:szCs w:val="20"/>
                <w:lang w:val="ru-RU"/>
              </w:rPr>
              <w:t xml:space="preserve"> </w:t>
            </w:r>
            <w:r>
              <w:rPr>
                <w:w w:val="105"/>
                <w:sz w:val="20"/>
                <w:szCs w:val="20"/>
                <w:lang w:val="ru-RU"/>
              </w:rPr>
              <w:t>удержанного</w:t>
            </w:r>
            <w:r>
              <w:rPr>
                <w:spacing w:val="-12"/>
                <w:w w:val="105"/>
                <w:sz w:val="20"/>
                <w:szCs w:val="20"/>
                <w:lang w:val="ru-RU"/>
              </w:rPr>
              <w:t xml:space="preserve"> </w:t>
            </w:r>
            <w:r>
              <w:rPr>
                <w:w w:val="105"/>
                <w:sz w:val="20"/>
                <w:szCs w:val="20"/>
                <w:lang w:val="ru-RU"/>
              </w:rPr>
              <w:t>налоговым агентом</w:t>
            </w:r>
            <w:r>
              <w:rPr>
                <w:spacing w:val="-4"/>
                <w:w w:val="105"/>
                <w:sz w:val="20"/>
                <w:szCs w:val="20"/>
                <w:lang w:val="ru-RU"/>
              </w:rPr>
              <w:t xml:space="preserve"> </w:t>
            </w:r>
            <w:r>
              <w:rPr>
                <w:w w:val="105"/>
                <w:sz w:val="20"/>
                <w:szCs w:val="20"/>
                <w:lang w:val="ru-RU"/>
              </w:rPr>
              <w:t>у</w:t>
            </w:r>
            <w:r>
              <w:rPr>
                <w:spacing w:val="-11"/>
                <w:w w:val="105"/>
                <w:sz w:val="20"/>
                <w:szCs w:val="20"/>
                <w:lang w:val="ru-RU"/>
              </w:rPr>
              <w:t xml:space="preserve"> </w:t>
            </w:r>
            <w:r>
              <w:rPr>
                <w:w w:val="105"/>
                <w:sz w:val="20"/>
                <w:szCs w:val="20"/>
                <w:lang w:val="ru-RU"/>
              </w:rPr>
              <w:t>резидента</w:t>
            </w:r>
            <w:r>
              <w:rPr>
                <w:spacing w:val="-4"/>
                <w:w w:val="105"/>
                <w:sz w:val="20"/>
                <w:szCs w:val="20"/>
                <w:lang w:val="ru-RU"/>
              </w:rPr>
              <w:t xml:space="preserve"> </w:t>
            </w:r>
            <w:r>
              <w:rPr>
                <w:w w:val="105"/>
                <w:sz w:val="20"/>
                <w:szCs w:val="20"/>
                <w:lang w:val="ru-RU"/>
              </w:rPr>
              <w:t>РФ</w:t>
            </w:r>
            <w:r>
              <w:rPr>
                <w:spacing w:val="-4"/>
                <w:w w:val="105"/>
                <w:sz w:val="20"/>
                <w:szCs w:val="20"/>
                <w:lang w:val="ru-RU"/>
              </w:rPr>
              <w:t xml:space="preserve"> </w:t>
            </w:r>
            <w:r>
              <w:rPr>
                <w:w w:val="105"/>
                <w:sz w:val="20"/>
                <w:szCs w:val="20"/>
                <w:lang w:val="ru-RU"/>
              </w:rPr>
              <w:t>налога</w:t>
            </w:r>
            <w:r>
              <w:rPr>
                <w:spacing w:val="-4"/>
                <w:w w:val="105"/>
                <w:sz w:val="20"/>
                <w:szCs w:val="20"/>
                <w:lang w:val="ru-RU"/>
              </w:rPr>
              <w:t xml:space="preserve"> </w:t>
            </w:r>
            <w:r>
              <w:rPr>
                <w:w w:val="105"/>
                <w:sz w:val="20"/>
                <w:szCs w:val="20"/>
                <w:lang w:val="ru-RU"/>
              </w:rPr>
              <w:t>по ставке</w:t>
            </w:r>
            <w:r>
              <w:rPr>
                <w:spacing w:val="-7"/>
                <w:w w:val="105"/>
                <w:sz w:val="20"/>
                <w:szCs w:val="20"/>
                <w:lang w:val="ru-RU"/>
              </w:rPr>
              <w:t xml:space="preserve"> </w:t>
            </w:r>
            <w:r>
              <w:rPr>
                <w:w w:val="105"/>
                <w:sz w:val="20"/>
                <w:szCs w:val="20"/>
                <w:lang w:val="ru-RU"/>
              </w:rPr>
              <w:t>15%</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2860" w:type="dxa"/>
            <w:gridSpan w:val="3"/>
            <w:vAlign w:val="center"/>
          </w:tcPr>
          <w:p>
            <w:pPr>
              <w:pStyle w:val="249"/>
              <w:rPr>
                <w:sz w:val="20"/>
                <w:szCs w:val="20"/>
                <w:lang w:val="ru-RU"/>
              </w:rPr>
            </w:pPr>
            <w:r>
              <w:rPr>
                <w:w w:val="105"/>
                <w:sz w:val="20"/>
                <w:szCs w:val="20"/>
                <w:lang w:val="ru-RU"/>
              </w:rPr>
              <w:t>Сумма дохода, с которого налоговым агентом не удержан налог по ставке 15% с налоговой базы нерезидента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2860" w:type="dxa"/>
            <w:gridSpan w:val="3"/>
            <w:vAlign w:val="center"/>
          </w:tcPr>
          <w:p>
            <w:pPr>
              <w:pStyle w:val="249"/>
              <w:rPr>
                <w:sz w:val="20"/>
                <w:szCs w:val="20"/>
                <w:lang w:val="ru-RU"/>
              </w:rPr>
            </w:pPr>
            <w:r>
              <w:rPr>
                <w:w w:val="105"/>
                <w:sz w:val="20"/>
                <w:szCs w:val="20"/>
                <w:lang w:val="ru-RU"/>
              </w:rPr>
              <w:t>Сумма не удержанного налоговым агентом налога по ставке 15% с налоговой базы нерезидента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2860" w:type="dxa"/>
            <w:gridSpan w:val="3"/>
            <w:vAlign w:val="center"/>
          </w:tcPr>
          <w:p>
            <w:pPr>
              <w:pStyle w:val="249"/>
              <w:rPr>
                <w:sz w:val="20"/>
                <w:szCs w:val="20"/>
                <w:lang w:val="ru-RU"/>
              </w:rPr>
            </w:pPr>
            <w:r>
              <w:rPr>
                <w:w w:val="105"/>
                <w:sz w:val="20"/>
                <w:szCs w:val="20"/>
                <w:lang w:val="ru-RU"/>
              </w:rPr>
              <w:t>Сумма излишне удержанного налоговым агентом у резидента РФ налога по ставке 13%</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2860" w:type="dxa"/>
            <w:gridSpan w:val="3"/>
            <w:vAlign w:val="center"/>
          </w:tcPr>
          <w:p>
            <w:pPr>
              <w:pStyle w:val="249"/>
              <w:rPr>
                <w:sz w:val="20"/>
                <w:szCs w:val="20"/>
                <w:lang w:val="ru-RU"/>
              </w:rPr>
            </w:pPr>
            <w:r>
              <w:rPr>
                <w:w w:val="105"/>
                <w:sz w:val="20"/>
                <w:szCs w:val="20"/>
                <w:lang w:val="ru-RU"/>
              </w:rPr>
              <w:t>Сумма излишне удержанного налоговым агентом у резидента РФ налога по ставке 15%</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2860" w:type="dxa"/>
            <w:gridSpan w:val="3"/>
            <w:vAlign w:val="center"/>
          </w:tcPr>
          <w:p>
            <w:pPr>
              <w:pStyle w:val="249"/>
              <w:ind w:right="14"/>
              <w:rPr>
                <w:sz w:val="20"/>
                <w:szCs w:val="20"/>
                <w:lang w:val="ru-RU"/>
              </w:rPr>
            </w:pPr>
            <w:r>
              <w:rPr>
                <w:w w:val="105"/>
                <w:sz w:val="20"/>
                <w:szCs w:val="20"/>
                <w:lang w:val="ru-RU"/>
              </w:rPr>
              <w:t>Сумма излишне удержанного налоговым агентом налога по ставке 15% с налоговой базы нерезидента РФ</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868" w:type="dxa"/>
            <w:gridSpan w:val="2"/>
            <w:vMerge w:val="restart"/>
            <w:vAlign w:val="center"/>
          </w:tcPr>
          <w:p>
            <w:pPr>
              <w:pStyle w:val="249"/>
              <w:ind w:right="40"/>
              <w:rPr>
                <w:sz w:val="20"/>
                <w:szCs w:val="20"/>
                <w:lang w:val="ru-RU"/>
              </w:rPr>
            </w:pPr>
            <w:r>
              <w:rPr>
                <w:w w:val="105"/>
                <w:sz w:val="20"/>
                <w:szCs w:val="20"/>
                <w:lang w:val="ru-RU"/>
              </w:rPr>
              <w:t>Возвращенный налоговым агентом резиденту РФ налог по ставке 13%</w:t>
            </w:r>
          </w:p>
        </w:tc>
        <w:tc>
          <w:tcPr>
            <w:tcW w:w="992" w:type="dxa"/>
            <w:vAlign w:val="center"/>
          </w:tcPr>
          <w:p>
            <w:pPr>
              <w:pStyle w:val="249"/>
              <w:rPr>
                <w:sz w:val="20"/>
                <w:szCs w:val="20"/>
              </w:rPr>
            </w:pPr>
            <w:r>
              <w:rPr>
                <w:w w:val="105"/>
                <w:sz w:val="20"/>
                <w:szCs w:val="20"/>
              </w:rPr>
              <w:t>Сумма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868"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992" w:type="dxa"/>
            <w:vAlign w:val="center"/>
          </w:tcPr>
          <w:p>
            <w:pPr>
              <w:pStyle w:val="249"/>
              <w:rPr>
                <w:sz w:val="20"/>
                <w:szCs w:val="20"/>
              </w:rPr>
            </w:pPr>
            <w:r>
              <w:rPr>
                <w:w w:val="105"/>
                <w:sz w:val="20"/>
                <w:szCs w:val="20"/>
              </w:rPr>
              <w:t>Дата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pStyle w:val="249"/>
              <w:ind w:left="0"/>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868" w:type="dxa"/>
            <w:gridSpan w:val="2"/>
            <w:vMerge w:val="restart"/>
            <w:vAlign w:val="center"/>
          </w:tcPr>
          <w:p>
            <w:pPr>
              <w:pStyle w:val="249"/>
              <w:ind w:right="40"/>
              <w:rPr>
                <w:sz w:val="20"/>
                <w:szCs w:val="20"/>
                <w:lang w:val="ru-RU"/>
              </w:rPr>
            </w:pPr>
            <w:r>
              <w:rPr>
                <w:w w:val="105"/>
                <w:sz w:val="20"/>
                <w:szCs w:val="20"/>
                <w:lang w:val="ru-RU"/>
              </w:rPr>
              <w:t>Возвращенный налоговым агентом резиденту РФ налог по ставке 15%</w:t>
            </w:r>
          </w:p>
        </w:tc>
        <w:tc>
          <w:tcPr>
            <w:tcW w:w="992" w:type="dxa"/>
            <w:vAlign w:val="center"/>
          </w:tcPr>
          <w:p>
            <w:pPr>
              <w:pStyle w:val="249"/>
              <w:rPr>
                <w:sz w:val="20"/>
                <w:szCs w:val="20"/>
              </w:rPr>
            </w:pPr>
            <w:r>
              <w:rPr>
                <w:w w:val="105"/>
                <w:sz w:val="20"/>
                <w:szCs w:val="20"/>
              </w:rPr>
              <w:t>Сумма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868"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992" w:type="dxa"/>
            <w:vAlign w:val="center"/>
          </w:tcPr>
          <w:p>
            <w:pPr>
              <w:pStyle w:val="249"/>
              <w:rPr>
                <w:sz w:val="20"/>
                <w:szCs w:val="20"/>
              </w:rPr>
            </w:pPr>
            <w:r>
              <w:rPr>
                <w:w w:val="105"/>
                <w:sz w:val="20"/>
                <w:szCs w:val="20"/>
              </w:rPr>
              <w:t>Дата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pStyle w:val="249"/>
              <w:ind w:left="0"/>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868" w:type="dxa"/>
            <w:gridSpan w:val="2"/>
            <w:vMerge w:val="restart"/>
            <w:vAlign w:val="center"/>
          </w:tcPr>
          <w:p>
            <w:pPr>
              <w:pStyle w:val="249"/>
              <w:rPr>
                <w:sz w:val="20"/>
                <w:szCs w:val="20"/>
                <w:lang w:val="ru-RU"/>
              </w:rPr>
            </w:pPr>
            <w:r>
              <w:rPr>
                <w:w w:val="105"/>
                <w:sz w:val="20"/>
                <w:szCs w:val="20"/>
                <w:lang w:val="ru-RU"/>
              </w:rPr>
              <w:t>Возвращенный налоговым агентом налог по ставке 15% с налоговой базы нерезидента РФ</w:t>
            </w:r>
          </w:p>
        </w:tc>
        <w:tc>
          <w:tcPr>
            <w:tcW w:w="992" w:type="dxa"/>
            <w:vAlign w:val="center"/>
          </w:tcPr>
          <w:p>
            <w:pPr>
              <w:pStyle w:val="249"/>
              <w:rPr>
                <w:sz w:val="20"/>
                <w:szCs w:val="20"/>
              </w:rPr>
            </w:pPr>
            <w:r>
              <w:rPr>
                <w:w w:val="105"/>
                <w:sz w:val="20"/>
                <w:szCs w:val="20"/>
              </w:rPr>
              <w:t>Сумма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868" w:type="dxa"/>
            <w:gridSpan w:val="2"/>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992" w:type="dxa"/>
            <w:vAlign w:val="center"/>
          </w:tcPr>
          <w:p>
            <w:pPr>
              <w:pStyle w:val="249"/>
              <w:rPr>
                <w:sz w:val="20"/>
                <w:szCs w:val="20"/>
              </w:rPr>
            </w:pPr>
            <w:r>
              <w:rPr>
                <w:w w:val="105"/>
                <w:sz w:val="20"/>
                <w:szCs w:val="20"/>
              </w:rPr>
              <w:t>Дата</w:t>
            </w: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71" w:type="dxa"/>
            <w:vAlign w:val="center"/>
          </w:tcPr>
          <w:p>
            <w:pPr>
              <w:pStyle w:val="249"/>
              <w:ind w:left="0"/>
              <w:jc w:val="center"/>
              <w:rPr>
                <w:sz w:val="20"/>
                <w:szCs w:val="20"/>
              </w:rPr>
            </w:pPr>
            <w:r>
              <w:rPr>
                <w:w w:val="103"/>
                <w:sz w:val="20"/>
                <w:szCs w:val="20"/>
              </w:rPr>
              <w:t>X</w:t>
            </w:r>
          </w:p>
        </w:tc>
      </w:tr>
    </w:tbl>
    <w:p>
      <w:pPr>
        <w:spacing w:after="0" w:line="240" w:lineRule="auto"/>
        <w:rPr>
          <w:rFonts w:ascii="Times New Roman" w:hAnsi="Times New Roman"/>
          <w:sz w:val="20"/>
          <w:szCs w:val="20"/>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1134"/>
        <w:gridCol w:w="487"/>
        <w:gridCol w:w="488"/>
        <w:gridCol w:w="487"/>
        <w:gridCol w:w="488"/>
        <w:gridCol w:w="488"/>
        <w:gridCol w:w="487"/>
        <w:gridCol w:w="488"/>
        <w:gridCol w:w="488"/>
        <w:gridCol w:w="487"/>
        <w:gridCol w:w="488"/>
        <w:gridCol w:w="488"/>
        <w:gridCol w:w="487"/>
        <w:gridCol w:w="488"/>
        <w:gridCol w:w="487"/>
        <w:gridCol w:w="488"/>
        <w:gridCol w:w="488"/>
        <w:gridCol w:w="487"/>
        <w:gridCol w:w="488"/>
        <w:gridCol w:w="488"/>
        <w:gridCol w:w="487"/>
        <w:gridCol w:w="488"/>
        <w:gridCol w:w="488"/>
        <w:gridCol w:w="487"/>
        <w:gridCol w:w="488"/>
        <w:gridCol w:w="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exact"/>
        </w:trPr>
        <w:tc>
          <w:tcPr>
            <w:tcW w:w="3285" w:type="dxa"/>
            <w:gridSpan w:val="2"/>
          </w:tcPr>
          <w:p>
            <w:pPr>
              <w:pStyle w:val="249"/>
              <w:ind w:left="909" w:right="907"/>
              <w:jc w:val="center"/>
              <w:rPr>
                <w:sz w:val="20"/>
                <w:szCs w:val="20"/>
              </w:rPr>
            </w:pPr>
            <w:r>
              <w:rPr>
                <w:w w:val="105"/>
                <w:sz w:val="20"/>
                <w:szCs w:val="20"/>
              </w:rPr>
              <w:t>Показатель</w:t>
            </w:r>
          </w:p>
        </w:tc>
        <w:tc>
          <w:tcPr>
            <w:tcW w:w="487"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января</w:t>
            </w:r>
          </w:p>
        </w:tc>
        <w:tc>
          <w:tcPr>
            <w:tcW w:w="488"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w:t>
            </w:r>
            <w:r>
              <w:rPr>
                <w:spacing w:val="-8"/>
                <w:w w:val="105"/>
                <w:sz w:val="20"/>
                <w:szCs w:val="20"/>
                <w:lang w:val="ru-RU"/>
              </w:rPr>
              <w:t xml:space="preserve"> </w:t>
            </w:r>
            <w:r>
              <w:rPr>
                <w:spacing w:val="-8"/>
                <w:w w:val="105"/>
                <w:sz w:val="20"/>
                <w:szCs w:val="20"/>
              </w:rPr>
              <w:t>января</w:t>
            </w:r>
          </w:p>
        </w:tc>
        <w:tc>
          <w:tcPr>
            <w:tcW w:w="487" w:type="dxa"/>
          </w:tcPr>
          <w:p>
            <w:pPr>
              <w:pStyle w:val="249"/>
              <w:ind w:left="0" w:hanging="32"/>
              <w:jc w:val="center"/>
              <w:rPr>
                <w:spacing w:val="-8"/>
                <w:sz w:val="20"/>
                <w:szCs w:val="20"/>
              </w:rPr>
            </w:pPr>
            <w:r>
              <w:rPr>
                <w:spacing w:val="-8"/>
                <w:w w:val="105"/>
                <w:sz w:val="20"/>
                <w:szCs w:val="20"/>
              </w:rPr>
              <w:t>С 1 по 22 февраля</w:t>
            </w:r>
          </w:p>
        </w:tc>
        <w:tc>
          <w:tcPr>
            <w:tcW w:w="488"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28 (29)</w:t>
            </w:r>
            <w:r>
              <w:rPr>
                <w:spacing w:val="-8"/>
                <w:w w:val="105"/>
                <w:sz w:val="20"/>
                <w:szCs w:val="20"/>
                <w:lang w:val="ru-RU"/>
              </w:rPr>
              <w:t xml:space="preserve"> </w:t>
            </w:r>
            <w:r>
              <w:rPr>
                <w:spacing w:val="-8"/>
                <w:w w:val="105"/>
                <w:sz w:val="20"/>
                <w:szCs w:val="20"/>
              </w:rPr>
              <w:t>февраля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марта</w:t>
            </w:r>
          </w:p>
        </w:tc>
        <w:tc>
          <w:tcPr>
            <w:tcW w:w="487"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 xml:space="preserve">по 31 </w:t>
            </w:r>
            <w:r>
              <w:rPr>
                <w:spacing w:val="-8"/>
                <w:sz w:val="20"/>
                <w:szCs w:val="20"/>
              </w:rPr>
              <w:t>марта</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апреля</w:t>
            </w:r>
          </w:p>
        </w:tc>
        <w:tc>
          <w:tcPr>
            <w:tcW w:w="488"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w w:val="105"/>
                <w:sz w:val="20"/>
                <w:szCs w:val="20"/>
              </w:rPr>
              <w:t>апреля</w:t>
            </w:r>
          </w:p>
        </w:tc>
        <w:tc>
          <w:tcPr>
            <w:tcW w:w="487"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 мая</w:t>
            </w:r>
          </w:p>
        </w:tc>
        <w:tc>
          <w:tcPr>
            <w:tcW w:w="488"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мая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июня</w:t>
            </w:r>
          </w:p>
        </w:tc>
        <w:tc>
          <w:tcPr>
            <w:tcW w:w="487"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w w:val="105"/>
                <w:sz w:val="20"/>
                <w:szCs w:val="20"/>
              </w:rPr>
              <w:t>июня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июля</w:t>
            </w:r>
          </w:p>
        </w:tc>
        <w:tc>
          <w:tcPr>
            <w:tcW w:w="487"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июля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августа</w:t>
            </w:r>
          </w:p>
        </w:tc>
        <w:tc>
          <w:tcPr>
            <w:tcW w:w="488"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августа</w:t>
            </w:r>
          </w:p>
        </w:tc>
        <w:tc>
          <w:tcPr>
            <w:tcW w:w="487"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sz w:val="20"/>
                <w:szCs w:val="20"/>
              </w:rPr>
              <w:t>сентяб</w:t>
            </w:r>
            <w:r>
              <w:rPr>
                <w:spacing w:val="-8"/>
                <w:w w:val="105"/>
                <w:sz w:val="20"/>
                <w:szCs w:val="20"/>
              </w:rPr>
              <w:t>ря</w:t>
            </w:r>
          </w:p>
        </w:tc>
        <w:tc>
          <w:tcPr>
            <w:tcW w:w="488"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sz w:val="20"/>
                <w:szCs w:val="20"/>
              </w:rPr>
              <w:t>сентяб</w:t>
            </w:r>
            <w:r>
              <w:rPr>
                <w:spacing w:val="-8"/>
                <w:w w:val="105"/>
                <w:sz w:val="20"/>
                <w:szCs w:val="20"/>
              </w:rPr>
              <w:t>ря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октября</w:t>
            </w:r>
          </w:p>
        </w:tc>
        <w:tc>
          <w:tcPr>
            <w:tcW w:w="487"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31</w:t>
            </w:r>
            <w:r>
              <w:rPr>
                <w:spacing w:val="-8"/>
                <w:w w:val="105"/>
                <w:sz w:val="20"/>
                <w:szCs w:val="20"/>
                <w:lang w:val="ru-RU"/>
              </w:rPr>
              <w:t xml:space="preserve"> </w:t>
            </w:r>
            <w:r>
              <w:rPr>
                <w:spacing w:val="-8"/>
                <w:w w:val="105"/>
                <w:sz w:val="20"/>
                <w:szCs w:val="20"/>
              </w:rPr>
              <w:t>октября</w:t>
            </w:r>
          </w:p>
        </w:tc>
        <w:tc>
          <w:tcPr>
            <w:tcW w:w="488"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ноября</w:t>
            </w:r>
          </w:p>
        </w:tc>
        <w:tc>
          <w:tcPr>
            <w:tcW w:w="488" w:type="dxa"/>
          </w:tcPr>
          <w:p>
            <w:pPr>
              <w:pStyle w:val="249"/>
              <w:ind w:left="0"/>
              <w:jc w:val="center"/>
              <w:rPr>
                <w:spacing w:val="-8"/>
                <w:sz w:val="20"/>
                <w:szCs w:val="20"/>
              </w:rPr>
            </w:pPr>
            <w:r>
              <w:rPr>
                <w:spacing w:val="-8"/>
                <w:w w:val="105"/>
                <w:sz w:val="20"/>
                <w:szCs w:val="20"/>
              </w:rPr>
              <w:t>С 23 по</w:t>
            </w:r>
            <w:r>
              <w:rPr>
                <w:spacing w:val="-8"/>
                <w:w w:val="105"/>
                <w:sz w:val="20"/>
                <w:szCs w:val="20"/>
                <w:lang w:val="ru-RU"/>
              </w:rPr>
              <w:t xml:space="preserve"> </w:t>
            </w:r>
            <w:r>
              <w:rPr>
                <w:spacing w:val="-8"/>
                <w:w w:val="105"/>
                <w:sz w:val="20"/>
                <w:szCs w:val="20"/>
              </w:rPr>
              <w:t>30</w:t>
            </w:r>
            <w:r>
              <w:rPr>
                <w:spacing w:val="-8"/>
                <w:w w:val="105"/>
                <w:sz w:val="20"/>
                <w:szCs w:val="20"/>
                <w:lang w:val="ru-RU"/>
              </w:rPr>
              <w:t xml:space="preserve"> </w:t>
            </w:r>
            <w:r>
              <w:rPr>
                <w:spacing w:val="-8"/>
                <w:w w:val="105"/>
                <w:sz w:val="20"/>
                <w:szCs w:val="20"/>
              </w:rPr>
              <w:t>ноября</w:t>
            </w:r>
          </w:p>
        </w:tc>
        <w:tc>
          <w:tcPr>
            <w:tcW w:w="487" w:type="dxa"/>
          </w:tcPr>
          <w:p>
            <w:pPr>
              <w:pStyle w:val="249"/>
              <w:ind w:left="0"/>
              <w:jc w:val="center"/>
              <w:rPr>
                <w:spacing w:val="-8"/>
                <w:sz w:val="20"/>
                <w:szCs w:val="20"/>
              </w:rPr>
            </w:pPr>
            <w:r>
              <w:rPr>
                <w:spacing w:val="-8"/>
                <w:w w:val="105"/>
                <w:sz w:val="20"/>
                <w:szCs w:val="20"/>
              </w:rPr>
              <w:t>С 1 по</w:t>
            </w:r>
            <w:r>
              <w:rPr>
                <w:spacing w:val="-8"/>
                <w:w w:val="105"/>
                <w:sz w:val="20"/>
                <w:szCs w:val="20"/>
                <w:lang w:val="ru-RU"/>
              </w:rPr>
              <w:t xml:space="preserve"> </w:t>
            </w:r>
            <w:r>
              <w:rPr>
                <w:spacing w:val="-8"/>
                <w:w w:val="105"/>
                <w:sz w:val="20"/>
                <w:szCs w:val="20"/>
              </w:rPr>
              <w:t>22</w:t>
            </w:r>
            <w:r>
              <w:rPr>
                <w:spacing w:val="-8"/>
                <w:w w:val="105"/>
                <w:sz w:val="20"/>
                <w:szCs w:val="20"/>
                <w:lang w:val="ru-RU"/>
              </w:rPr>
              <w:t xml:space="preserve"> </w:t>
            </w:r>
            <w:r>
              <w:rPr>
                <w:spacing w:val="-8"/>
                <w:w w:val="105"/>
                <w:sz w:val="20"/>
                <w:szCs w:val="20"/>
              </w:rPr>
              <w:t>декабря</w:t>
            </w:r>
          </w:p>
        </w:tc>
        <w:tc>
          <w:tcPr>
            <w:tcW w:w="488" w:type="dxa"/>
          </w:tcPr>
          <w:p>
            <w:pPr>
              <w:pStyle w:val="249"/>
              <w:ind w:left="0"/>
              <w:jc w:val="center"/>
              <w:rPr>
                <w:spacing w:val="-8"/>
                <w:sz w:val="20"/>
                <w:szCs w:val="20"/>
              </w:rPr>
            </w:pPr>
            <w:r>
              <w:rPr>
                <w:spacing w:val="-8"/>
                <w:w w:val="105"/>
                <w:sz w:val="20"/>
                <w:szCs w:val="20"/>
              </w:rPr>
              <w:t>С 23</w:t>
            </w:r>
            <w:r>
              <w:rPr>
                <w:spacing w:val="-8"/>
                <w:w w:val="105"/>
                <w:sz w:val="20"/>
                <w:szCs w:val="20"/>
                <w:lang w:val="ru-RU"/>
              </w:rPr>
              <w:t xml:space="preserve"> </w:t>
            </w:r>
            <w:r>
              <w:rPr>
                <w:spacing w:val="-8"/>
                <w:w w:val="105"/>
                <w:sz w:val="20"/>
                <w:szCs w:val="20"/>
              </w:rPr>
              <w:t>по 31 декабря</w:t>
            </w:r>
          </w:p>
        </w:tc>
        <w:tc>
          <w:tcPr>
            <w:tcW w:w="488" w:type="dxa"/>
          </w:tcPr>
          <w:p>
            <w:pPr>
              <w:pStyle w:val="249"/>
              <w:ind w:left="0"/>
              <w:jc w:val="center"/>
              <w:rPr>
                <w:spacing w:val="-8"/>
                <w:sz w:val="20"/>
                <w:szCs w:val="20"/>
              </w:rPr>
            </w:pPr>
            <w:r>
              <w:rPr>
                <w:spacing w:val="-8"/>
                <w:w w:val="105"/>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151" w:type="dxa"/>
            <w:vMerge w:val="restart"/>
            <w:vAlign w:val="center"/>
          </w:tcPr>
          <w:p>
            <w:pPr>
              <w:pStyle w:val="249"/>
              <w:rPr>
                <w:sz w:val="20"/>
                <w:szCs w:val="20"/>
                <w:lang w:val="ru-RU"/>
              </w:rPr>
            </w:pPr>
            <w:r>
              <w:rPr>
                <w:w w:val="105"/>
                <w:sz w:val="20"/>
                <w:szCs w:val="20"/>
                <w:lang w:val="ru-RU"/>
              </w:rPr>
              <w:t>Налог, удержанный по ставке 13% с налоговой базы резидента РФ в пределах 2,4 млн руб.</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86"/>
              <w:rPr>
                <w:sz w:val="20"/>
                <w:szCs w:val="20"/>
              </w:rPr>
            </w:pPr>
            <w:r>
              <w:rPr>
                <w:w w:val="105"/>
                <w:sz w:val="20"/>
                <w:szCs w:val="20"/>
              </w:rPr>
              <w:t xml:space="preserve">Дата </w:t>
            </w:r>
            <w:r>
              <w:rPr>
                <w:sz w:val="20"/>
                <w:szCs w:val="20"/>
              </w:rPr>
              <w:t>удержания</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restart"/>
            <w:vAlign w:val="center"/>
          </w:tcPr>
          <w:p>
            <w:pPr>
              <w:pStyle w:val="249"/>
              <w:ind w:right="50"/>
              <w:rPr>
                <w:sz w:val="20"/>
                <w:szCs w:val="20"/>
                <w:lang w:val="ru-RU"/>
              </w:rPr>
            </w:pPr>
            <w:r>
              <w:rPr>
                <w:w w:val="105"/>
                <w:sz w:val="20"/>
                <w:szCs w:val="20"/>
                <w:lang w:val="ru-RU"/>
              </w:rPr>
              <w:t>Налог, удержанный по ставке 15% с части налоговой базы резидента РФ, превышающей 2,4 млн руб.</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86"/>
              <w:rPr>
                <w:sz w:val="20"/>
                <w:szCs w:val="20"/>
              </w:rPr>
            </w:pPr>
            <w:r>
              <w:rPr>
                <w:w w:val="105"/>
                <w:sz w:val="20"/>
                <w:szCs w:val="20"/>
              </w:rPr>
              <w:t xml:space="preserve">Дата </w:t>
            </w:r>
            <w:r>
              <w:rPr>
                <w:sz w:val="20"/>
                <w:szCs w:val="20"/>
              </w:rPr>
              <w:t>удержания</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2151" w:type="dxa"/>
            <w:vMerge w:val="restart"/>
            <w:vAlign w:val="center"/>
          </w:tcPr>
          <w:p>
            <w:pPr>
              <w:pStyle w:val="249"/>
              <w:rPr>
                <w:sz w:val="20"/>
                <w:szCs w:val="20"/>
                <w:lang w:val="ru-RU"/>
              </w:rPr>
            </w:pPr>
            <w:r>
              <w:rPr>
                <w:w w:val="105"/>
                <w:sz w:val="20"/>
                <w:szCs w:val="20"/>
                <w:lang w:val="ru-RU"/>
              </w:rPr>
              <w:t>Налог, удержанный по ставке 15% с налоговой базы нерезидента РФ</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86"/>
              <w:rPr>
                <w:sz w:val="20"/>
                <w:szCs w:val="20"/>
              </w:rPr>
            </w:pPr>
            <w:r>
              <w:rPr>
                <w:w w:val="105"/>
                <w:sz w:val="20"/>
                <w:szCs w:val="20"/>
              </w:rPr>
              <w:t xml:space="preserve">Дата </w:t>
            </w:r>
            <w:r>
              <w:rPr>
                <w:sz w:val="20"/>
                <w:szCs w:val="20"/>
              </w:rPr>
              <w:t>удержания</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restart"/>
            <w:vAlign w:val="center"/>
          </w:tcPr>
          <w:p>
            <w:pPr>
              <w:pStyle w:val="249"/>
              <w:rPr>
                <w:sz w:val="20"/>
                <w:szCs w:val="20"/>
                <w:lang w:val="ru-RU"/>
              </w:rPr>
            </w:pPr>
            <w:r>
              <w:rPr>
                <w:w w:val="105"/>
                <w:sz w:val="20"/>
                <w:szCs w:val="20"/>
                <w:lang w:val="ru-RU"/>
              </w:rPr>
              <w:t>Возвращенный налоговым агентом налог по ставке 13% с налоговой базы резидента РФ в пределах 2,4 млн руб.</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78"/>
              <w:rPr>
                <w:sz w:val="20"/>
                <w:szCs w:val="20"/>
              </w:rPr>
            </w:pPr>
            <w:r>
              <w:rPr>
                <w:w w:val="105"/>
                <w:sz w:val="20"/>
                <w:szCs w:val="20"/>
              </w:rPr>
              <w:t>Дата возврата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151" w:type="dxa"/>
            <w:vMerge w:val="restart"/>
            <w:vAlign w:val="center"/>
          </w:tcPr>
          <w:p>
            <w:pPr>
              <w:pStyle w:val="249"/>
              <w:ind w:right="-1"/>
              <w:rPr>
                <w:sz w:val="20"/>
                <w:szCs w:val="20"/>
                <w:lang w:val="ru-RU"/>
              </w:rPr>
            </w:pPr>
            <w:r>
              <w:rPr>
                <w:w w:val="105"/>
                <w:sz w:val="20"/>
                <w:szCs w:val="20"/>
                <w:lang w:val="ru-RU"/>
              </w:rPr>
              <w:t>Возвращенный налоговым агентом налог по ставке 15% с части налоговой базы резидента РФ, превышающей 2,4 млн руб.</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78"/>
              <w:rPr>
                <w:sz w:val="20"/>
                <w:szCs w:val="20"/>
              </w:rPr>
            </w:pPr>
            <w:r>
              <w:rPr>
                <w:w w:val="105"/>
                <w:sz w:val="20"/>
                <w:szCs w:val="20"/>
              </w:rPr>
              <w:t>Дата возврата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151" w:type="dxa"/>
            <w:vMerge w:val="restart"/>
            <w:vAlign w:val="center"/>
          </w:tcPr>
          <w:p>
            <w:pPr>
              <w:pStyle w:val="249"/>
              <w:ind w:right="4"/>
              <w:rPr>
                <w:sz w:val="20"/>
                <w:szCs w:val="20"/>
                <w:lang w:val="ru-RU"/>
              </w:rPr>
            </w:pPr>
            <w:r>
              <w:rPr>
                <w:w w:val="105"/>
                <w:sz w:val="20"/>
                <w:szCs w:val="20"/>
                <w:lang w:val="ru-RU"/>
              </w:rPr>
              <w:t>Возвращенный налоговым агентом налог по ставке 15% с налоговой базы нерезидента РФ</w:t>
            </w:r>
          </w:p>
        </w:tc>
        <w:tc>
          <w:tcPr>
            <w:tcW w:w="1134" w:type="dxa"/>
            <w:vAlign w:val="center"/>
          </w:tcPr>
          <w:p>
            <w:pPr>
              <w:pStyle w:val="249"/>
              <w:rPr>
                <w:sz w:val="20"/>
                <w:szCs w:val="20"/>
              </w:rPr>
            </w:pPr>
            <w:r>
              <w:rPr>
                <w:w w:val="105"/>
                <w:sz w:val="20"/>
                <w:szCs w:val="20"/>
              </w:rPr>
              <w:t>Сумма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151"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78"/>
              <w:rPr>
                <w:sz w:val="20"/>
                <w:szCs w:val="20"/>
              </w:rPr>
            </w:pPr>
            <w:r>
              <w:rPr>
                <w:w w:val="105"/>
                <w:sz w:val="20"/>
                <w:szCs w:val="20"/>
              </w:rPr>
              <w:t>Дата возврата</w:t>
            </w: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7"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488" w:type="dxa"/>
            <w:vAlign w:val="center"/>
          </w:tcPr>
          <w:p>
            <w:pPr>
              <w:pStyle w:val="249"/>
              <w:ind w:left="1"/>
              <w:jc w:val="center"/>
              <w:rPr>
                <w:sz w:val="20"/>
                <w:szCs w:val="20"/>
              </w:rPr>
            </w:pPr>
            <w:r>
              <w:rPr>
                <w:w w:val="103"/>
                <w:sz w:val="20"/>
                <w:szCs w:val="20"/>
              </w:rPr>
              <w:t>X</w:t>
            </w:r>
          </w:p>
        </w:tc>
      </w:tr>
    </w:tbl>
    <w:p>
      <w:pPr>
        <w:spacing w:after="0" w:line="240" w:lineRule="auto"/>
        <w:rPr>
          <w:rFonts w:ascii="Times New Roman" w:hAnsi="Times New Roman"/>
          <w:sz w:val="24"/>
          <w:szCs w:val="24"/>
        </w:rPr>
      </w:pPr>
    </w:p>
    <w:p>
      <w:pPr>
        <w:pStyle w:val="3"/>
        <w:spacing w:after="0" w:line="240" w:lineRule="auto"/>
        <w:ind w:left="147"/>
        <w:jc w:val="both"/>
        <w:rPr>
          <w:rFonts w:ascii="Times New Roman" w:hAnsi="Times New Roman"/>
          <w:b/>
          <w:sz w:val="24"/>
          <w:szCs w:val="24"/>
        </w:rPr>
      </w:pPr>
      <w:r>
        <w:rPr>
          <w:rFonts w:ascii="Times New Roman" w:hAnsi="Times New Roman"/>
          <w:b/>
          <w:sz w:val="24"/>
          <w:szCs w:val="24"/>
        </w:rPr>
        <w:t>Раздел 7. Доходы, облагаемые по ставке 35%, и сумма налога</w:t>
      </w:r>
    </w:p>
    <w:p>
      <w:pPr>
        <w:spacing w:after="0" w:line="240" w:lineRule="auto"/>
        <w:rPr>
          <w:rFonts w:ascii="Times New Roman" w:hAnsi="Times New Roman"/>
          <w:b/>
          <w:sz w:val="18"/>
        </w:rPr>
      </w:pPr>
    </w:p>
    <w:tbl>
      <w:tblPr>
        <w:tblStyle w:val="248"/>
        <w:tblW w:w="1547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9"/>
        <w:gridCol w:w="1276"/>
        <w:gridCol w:w="948"/>
        <w:gridCol w:w="949"/>
        <w:gridCol w:w="948"/>
        <w:gridCol w:w="949"/>
        <w:gridCol w:w="949"/>
        <w:gridCol w:w="948"/>
        <w:gridCol w:w="949"/>
        <w:gridCol w:w="948"/>
        <w:gridCol w:w="949"/>
        <w:gridCol w:w="949"/>
        <w:gridCol w:w="948"/>
        <w:gridCol w:w="949"/>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7" w:hRule="exact"/>
        </w:trPr>
        <w:tc>
          <w:tcPr>
            <w:tcW w:w="3145" w:type="dxa"/>
            <w:gridSpan w:val="2"/>
          </w:tcPr>
          <w:p>
            <w:pPr>
              <w:pStyle w:val="249"/>
              <w:ind w:left="0"/>
              <w:jc w:val="center"/>
              <w:rPr>
                <w:sz w:val="20"/>
                <w:szCs w:val="20"/>
              </w:rPr>
            </w:pPr>
            <w:r>
              <w:rPr>
                <w:sz w:val="20"/>
                <w:szCs w:val="20"/>
              </w:rPr>
              <w:t>Показатель</w:t>
            </w:r>
          </w:p>
        </w:tc>
        <w:tc>
          <w:tcPr>
            <w:tcW w:w="948" w:type="dxa"/>
          </w:tcPr>
          <w:p>
            <w:pPr>
              <w:pStyle w:val="249"/>
              <w:ind w:left="0"/>
              <w:jc w:val="center"/>
              <w:rPr>
                <w:sz w:val="20"/>
                <w:szCs w:val="20"/>
              </w:rPr>
            </w:pPr>
            <w:r>
              <w:rPr>
                <w:sz w:val="20"/>
                <w:szCs w:val="20"/>
              </w:rPr>
              <w:t>Январь</w:t>
            </w:r>
          </w:p>
        </w:tc>
        <w:tc>
          <w:tcPr>
            <w:tcW w:w="949" w:type="dxa"/>
          </w:tcPr>
          <w:p>
            <w:pPr>
              <w:pStyle w:val="249"/>
              <w:ind w:left="0"/>
              <w:jc w:val="center"/>
              <w:rPr>
                <w:sz w:val="20"/>
                <w:szCs w:val="20"/>
              </w:rPr>
            </w:pPr>
            <w:r>
              <w:rPr>
                <w:sz w:val="20"/>
                <w:szCs w:val="20"/>
              </w:rPr>
              <w:t>Февраль</w:t>
            </w:r>
          </w:p>
        </w:tc>
        <w:tc>
          <w:tcPr>
            <w:tcW w:w="948" w:type="dxa"/>
          </w:tcPr>
          <w:p>
            <w:pPr>
              <w:pStyle w:val="249"/>
              <w:ind w:left="0"/>
              <w:jc w:val="center"/>
              <w:rPr>
                <w:sz w:val="20"/>
                <w:szCs w:val="20"/>
              </w:rPr>
            </w:pPr>
            <w:r>
              <w:rPr>
                <w:sz w:val="20"/>
                <w:szCs w:val="20"/>
              </w:rPr>
              <w:t>Март</w:t>
            </w:r>
          </w:p>
        </w:tc>
        <w:tc>
          <w:tcPr>
            <w:tcW w:w="949" w:type="dxa"/>
          </w:tcPr>
          <w:p>
            <w:pPr>
              <w:pStyle w:val="249"/>
              <w:ind w:left="0"/>
              <w:jc w:val="center"/>
              <w:rPr>
                <w:sz w:val="20"/>
                <w:szCs w:val="20"/>
              </w:rPr>
            </w:pPr>
            <w:r>
              <w:rPr>
                <w:sz w:val="20"/>
                <w:szCs w:val="20"/>
              </w:rPr>
              <w:t>Апрель</w:t>
            </w:r>
          </w:p>
        </w:tc>
        <w:tc>
          <w:tcPr>
            <w:tcW w:w="949" w:type="dxa"/>
          </w:tcPr>
          <w:p>
            <w:pPr>
              <w:pStyle w:val="249"/>
              <w:ind w:left="0"/>
              <w:jc w:val="center"/>
              <w:rPr>
                <w:sz w:val="20"/>
                <w:szCs w:val="20"/>
              </w:rPr>
            </w:pPr>
            <w:r>
              <w:rPr>
                <w:sz w:val="20"/>
                <w:szCs w:val="20"/>
              </w:rPr>
              <w:t>Май</w:t>
            </w:r>
          </w:p>
        </w:tc>
        <w:tc>
          <w:tcPr>
            <w:tcW w:w="948" w:type="dxa"/>
          </w:tcPr>
          <w:p>
            <w:pPr>
              <w:pStyle w:val="249"/>
              <w:ind w:left="0"/>
              <w:jc w:val="center"/>
              <w:rPr>
                <w:sz w:val="20"/>
                <w:szCs w:val="20"/>
                <w:lang w:val="ru-RU"/>
              </w:rPr>
            </w:pPr>
            <w:r>
              <w:rPr>
                <w:sz w:val="20"/>
                <w:szCs w:val="20"/>
              </w:rPr>
              <w:t>Июн</w:t>
            </w:r>
            <w:r>
              <w:rPr>
                <w:sz w:val="20"/>
                <w:szCs w:val="20"/>
                <w:lang w:val="ru-RU"/>
              </w:rPr>
              <w:t>ь</w:t>
            </w:r>
          </w:p>
        </w:tc>
        <w:tc>
          <w:tcPr>
            <w:tcW w:w="949" w:type="dxa"/>
          </w:tcPr>
          <w:p>
            <w:pPr>
              <w:pStyle w:val="249"/>
              <w:ind w:left="0"/>
              <w:jc w:val="center"/>
              <w:rPr>
                <w:sz w:val="20"/>
                <w:szCs w:val="20"/>
              </w:rPr>
            </w:pPr>
            <w:r>
              <w:rPr>
                <w:sz w:val="20"/>
                <w:szCs w:val="20"/>
              </w:rPr>
              <w:t>Июль</w:t>
            </w:r>
          </w:p>
        </w:tc>
        <w:tc>
          <w:tcPr>
            <w:tcW w:w="948" w:type="dxa"/>
          </w:tcPr>
          <w:p>
            <w:pPr>
              <w:pStyle w:val="249"/>
              <w:ind w:left="0"/>
              <w:jc w:val="center"/>
              <w:rPr>
                <w:sz w:val="20"/>
                <w:szCs w:val="20"/>
                <w:lang w:val="ru-RU"/>
              </w:rPr>
            </w:pPr>
            <w:r>
              <w:rPr>
                <w:sz w:val="20"/>
                <w:szCs w:val="20"/>
              </w:rPr>
              <w:t>Авгус</w:t>
            </w:r>
            <w:r>
              <w:rPr>
                <w:sz w:val="20"/>
                <w:szCs w:val="20"/>
                <w:lang w:val="ru-RU"/>
              </w:rPr>
              <w:t>т</w:t>
            </w:r>
          </w:p>
        </w:tc>
        <w:tc>
          <w:tcPr>
            <w:tcW w:w="949" w:type="dxa"/>
          </w:tcPr>
          <w:p>
            <w:pPr>
              <w:pStyle w:val="249"/>
              <w:ind w:left="0"/>
              <w:jc w:val="center"/>
              <w:rPr>
                <w:sz w:val="20"/>
                <w:szCs w:val="20"/>
              </w:rPr>
            </w:pPr>
            <w:r>
              <w:rPr>
                <w:sz w:val="20"/>
                <w:szCs w:val="20"/>
              </w:rPr>
              <w:t>Сентябрь</w:t>
            </w:r>
          </w:p>
        </w:tc>
        <w:tc>
          <w:tcPr>
            <w:tcW w:w="949" w:type="dxa"/>
          </w:tcPr>
          <w:p>
            <w:pPr>
              <w:pStyle w:val="249"/>
              <w:ind w:left="0"/>
              <w:jc w:val="center"/>
              <w:rPr>
                <w:sz w:val="20"/>
                <w:szCs w:val="20"/>
              </w:rPr>
            </w:pPr>
            <w:r>
              <w:rPr>
                <w:sz w:val="20"/>
                <w:szCs w:val="20"/>
              </w:rPr>
              <w:t>Октябрь</w:t>
            </w:r>
          </w:p>
        </w:tc>
        <w:tc>
          <w:tcPr>
            <w:tcW w:w="948" w:type="dxa"/>
          </w:tcPr>
          <w:p>
            <w:pPr>
              <w:pStyle w:val="249"/>
              <w:ind w:left="0"/>
              <w:jc w:val="center"/>
              <w:rPr>
                <w:sz w:val="20"/>
                <w:szCs w:val="20"/>
              </w:rPr>
            </w:pPr>
            <w:r>
              <w:rPr>
                <w:sz w:val="20"/>
                <w:szCs w:val="20"/>
              </w:rPr>
              <w:t>Ноябрь</w:t>
            </w:r>
          </w:p>
        </w:tc>
        <w:tc>
          <w:tcPr>
            <w:tcW w:w="949" w:type="dxa"/>
          </w:tcPr>
          <w:p>
            <w:pPr>
              <w:pStyle w:val="249"/>
              <w:ind w:left="0"/>
              <w:jc w:val="center"/>
              <w:rPr>
                <w:sz w:val="20"/>
                <w:szCs w:val="20"/>
              </w:rPr>
            </w:pPr>
            <w:r>
              <w:rPr>
                <w:sz w:val="20"/>
                <w:szCs w:val="20"/>
              </w:rPr>
              <w:t>Декабрь</w:t>
            </w:r>
          </w:p>
        </w:tc>
        <w:tc>
          <w:tcPr>
            <w:tcW w:w="949" w:type="dxa"/>
          </w:tcPr>
          <w:p>
            <w:pPr>
              <w:pStyle w:val="249"/>
              <w:ind w:left="0"/>
              <w:jc w:val="center"/>
              <w:rPr>
                <w:sz w:val="20"/>
                <w:szCs w:val="20"/>
              </w:rPr>
            </w:pPr>
            <w:r>
              <w:rPr>
                <w:sz w:val="20"/>
                <w:szCs w:val="20"/>
              </w:rPr>
              <w:t>Итого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1869" w:type="dxa"/>
            <w:vMerge w:val="restart"/>
            <w:vAlign w:val="center"/>
          </w:tcPr>
          <w:p>
            <w:pPr>
              <w:pStyle w:val="249"/>
              <w:tabs>
                <w:tab w:val="left" w:pos="1056"/>
              </w:tabs>
              <w:rPr>
                <w:sz w:val="20"/>
                <w:szCs w:val="20"/>
                <w:lang w:val="ru-RU"/>
              </w:rPr>
            </w:pPr>
            <w:r>
              <w:rPr>
                <w:sz w:val="20"/>
                <w:szCs w:val="20"/>
              </w:rPr>
              <w:t>Доход/код</w:t>
            </w:r>
            <w:r>
              <w:rPr>
                <w:spacing w:val="1"/>
                <w:sz w:val="20"/>
                <w:szCs w:val="20"/>
              </w:rPr>
              <w:t xml:space="preserve"> </w:t>
            </w:r>
            <w:r>
              <w:rPr>
                <w:w w:val="99"/>
                <w:sz w:val="20"/>
                <w:szCs w:val="20"/>
                <w:lang w:val="ru-RU"/>
              </w:rPr>
              <w:t>______</w:t>
            </w:r>
          </w:p>
        </w:tc>
        <w:tc>
          <w:tcPr>
            <w:tcW w:w="1276" w:type="dxa"/>
            <w:vAlign w:val="center"/>
          </w:tcPr>
          <w:p>
            <w:pPr>
              <w:pStyle w:val="249"/>
              <w:rPr>
                <w:sz w:val="20"/>
                <w:szCs w:val="20"/>
              </w:rPr>
            </w:pPr>
            <w:r>
              <w:rPr>
                <w:sz w:val="20"/>
                <w:szCs w:val="20"/>
              </w:rPr>
              <w:t>Сумма</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276" w:type="dxa"/>
            <w:vAlign w:val="center"/>
          </w:tcPr>
          <w:p>
            <w:pPr>
              <w:pStyle w:val="249"/>
              <w:rPr>
                <w:sz w:val="20"/>
                <w:szCs w:val="20"/>
              </w:rPr>
            </w:pPr>
            <w:r>
              <w:rPr>
                <w:sz w:val="20"/>
                <w:szCs w:val="20"/>
              </w:rPr>
              <w:t>Дата получения</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pStyle w:val="249"/>
              <w:ind w:left="4"/>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1869" w:type="dxa"/>
            <w:vAlign w:val="center"/>
          </w:tcPr>
          <w:p>
            <w:pPr>
              <w:pStyle w:val="249"/>
              <w:rPr>
                <w:sz w:val="20"/>
                <w:szCs w:val="20"/>
                <w:lang w:val="ru-RU"/>
              </w:rPr>
            </w:pPr>
            <w:r>
              <w:rPr>
                <w:sz w:val="20"/>
                <w:szCs w:val="20"/>
                <w:lang w:val="ru-RU"/>
              </w:rPr>
              <w:t>Вычеты в размерах, предусмотренных ст. 217 НК РФ</w:t>
            </w:r>
          </w:p>
        </w:tc>
        <w:tc>
          <w:tcPr>
            <w:tcW w:w="1276" w:type="dxa"/>
            <w:vAlign w:val="center"/>
          </w:tcPr>
          <w:p>
            <w:pPr>
              <w:pStyle w:val="249"/>
              <w:tabs>
                <w:tab w:val="left" w:pos="867"/>
              </w:tabs>
              <w:rPr>
                <w:sz w:val="20"/>
                <w:szCs w:val="20"/>
                <w:lang w:val="ru-RU"/>
              </w:rPr>
            </w:pPr>
            <w:r>
              <w:rPr>
                <w:sz w:val="20"/>
                <w:szCs w:val="20"/>
              </w:rPr>
              <w:t xml:space="preserve">Код </w:t>
            </w:r>
            <w:r>
              <w:rPr>
                <w:spacing w:val="-9"/>
                <w:sz w:val="20"/>
                <w:szCs w:val="20"/>
                <w:lang w:val="ru-RU"/>
              </w:rPr>
              <w:t>______</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 w:hRule="atLeast"/>
        </w:trPr>
        <w:tc>
          <w:tcPr>
            <w:tcW w:w="3145" w:type="dxa"/>
            <w:gridSpan w:val="2"/>
            <w:vAlign w:val="center"/>
          </w:tcPr>
          <w:p>
            <w:pPr>
              <w:pStyle w:val="249"/>
              <w:rPr>
                <w:sz w:val="20"/>
                <w:szCs w:val="20"/>
              </w:rPr>
            </w:pPr>
            <w:r>
              <w:rPr>
                <w:sz w:val="20"/>
                <w:szCs w:val="20"/>
              </w:rPr>
              <w:t>Налоговая база</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trPr>
        <w:tc>
          <w:tcPr>
            <w:tcW w:w="3145" w:type="dxa"/>
            <w:gridSpan w:val="2"/>
            <w:vAlign w:val="center"/>
          </w:tcPr>
          <w:p>
            <w:pPr>
              <w:pStyle w:val="249"/>
              <w:rPr>
                <w:sz w:val="20"/>
                <w:szCs w:val="20"/>
                <w:lang w:val="ru-RU"/>
              </w:rPr>
            </w:pPr>
            <w:r>
              <w:rPr>
                <w:sz w:val="20"/>
                <w:szCs w:val="20"/>
                <w:lang w:val="ru-RU"/>
              </w:rPr>
              <w:t>Сумма налога, исчисленная по ставке 35%</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 w:hRule="atLeast"/>
        </w:trPr>
        <w:tc>
          <w:tcPr>
            <w:tcW w:w="3145" w:type="dxa"/>
            <w:gridSpan w:val="2"/>
            <w:vAlign w:val="center"/>
          </w:tcPr>
          <w:p>
            <w:pPr>
              <w:pStyle w:val="249"/>
              <w:rPr>
                <w:sz w:val="20"/>
                <w:szCs w:val="20"/>
              </w:rPr>
            </w:pPr>
            <w:r>
              <w:rPr>
                <w:sz w:val="20"/>
                <w:szCs w:val="20"/>
              </w:rPr>
              <w:t>Налог, удержанный по ставке 35%</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145" w:type="dxa"/>
            <w:gridSpan w:val="2"/>
            <w:vAlign w:val="center"/>
          </w:tcPr>
          <w:p>
            <w:pPr>
              <w:pStyle w:val="249"/>
              <w:rPr>
                <w:sz w:val="20"/>
                <w:szCs w:val="20"/>
                <w:lang w:val="ru-RU"/>
              </w:rPr>
            </w:pPr>
            <w:r>
              <w:rPr>
                <w:sz w:val="20"/>
                <w:szCs w:val="20"/>
                <w:lang w:val="ru-RU"/>
              </w:rPr>
              <w:t>Сумма дохода, с которого налоговым агентом не удержан налог по ставке 35%</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trPr>
        <w:tc>
          <w:tcPr>
            <w:tcW w:w="3145" w:type="dxa"/>
            <w:gridSpan w:val="2"/>
            <w:vAlign w:val="center"/>
          </w:tcPr>
          <w:p>
            <w:pPr>
              <w:pStyle w:val="249"/>
              <w:rPr>
                <w:sz w:val="20"/>
                <w:szCs w:val="20"/>
                <w:lang w:val="ru-RU"/>
              </w:rPr>
            </w:pPr>
            <w:r>
              <w:rPr>
                <w:sz w:val="20"/>
                <w:szCs w:val="20"/>
                <w:lang w:val="ru-RU"/>
              </w:rPr>
              <w:t>Сумма не удержанного налоговым агентом налога по ставке 35%</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9" w:hRule="atLeast"/>
        </w:trPr>
        <w:tc>
          <w:tcPr>
            <w:tcW w:w="3145" w:type="dxa"/>
            <w:gridSpan w:val="2"/>
            <w:vAlign w:val="center"/>
          </w:tcPr>
          <w:p>
            <w:pPr>
              <w:pStyle w:val="249"/>
              <w:ind w:right="12"/>
              <w:rPr>
                <w:sz w:val="20"/>
                <w:szCs w:val="20"/>
                <w:lang w:val="ru-RU"/>
              </w:rPr>
            </w:pPr>
            <w:r>
              <w:rPr>
                <w:sz w:val="20"/>
                <w:szCs w:val="20"/>
                <w:lang w:val="ru-RU"/>
              </w:rPr>
              <w:t>Сумма излишне удержанного налоговым агентом налога по ставке 35%</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5" w:hRule="atLeast"/>
        </w:trPr>
        <w:tc>
          <w:tcPr>
            <w:tcW w:w="1869" w:type="dxa"/>
            <w:vMerge w:val="restart"/>
            <w:vAlign w:val="center"/>
          </w:tcPr>
          <w:p>
            <w:pPr>
              <w:pStyle w:val="249"/>
              <w:rPr>
                <w:sz w:val="20"/>
                <w:szCs w:val="20"/>
                <w:lang w:val="ru-RU"/>
              </w:rPr>
            </w:pPr>
            <w:r>
              <w:rPr>
                <w:sz w:val="20"/>
                <w:szCs w:val="20"/>
                <w:lang w:val="ru-RU"/>
              </w:rPr>
              <w:t>Возвращенный налоговым агентом налог по ставке 35%</w:t>
            </w:r>
          </w:p>
        </w:tc>
        <w:tc>
          <w:tcPr>
            <w:tcW w:w="1276" w:type="dxa"/>
            <w:vAlign w:val="center"/>
          </w:tcPr>
          <w:p>
            <w:pPr>
              <w:pStyle w:val="249"/>
              <w:rPr>
                <w:sz w:val="20"/>
                <w:szCs w:val="20"/>
              </w:rPr>
            </w:pPr>
            <w:r>
              <w:rPr>
                <w:sz w:val="20"/>
                <w:szCs w:val="20"/>
              </w:rPr>
              <w:t>Сумма</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5" w:hRule="atLeast"/>
        </w:trPr>
        <w:tc>
          <w:tcPr>
            <w:tcW w:w="1869"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276" w:type="dxa"/>
            <w:vAlign w:val="center"/>
          </w:tcPr>
          <w:p>
            <w:pPr>
              <w:pStyle w:val="249"/>
              <w:rPr>
                <w:sz w:val="20"/>
                <w:szCs w:val="20"/>
              </w:rPr>
            </w:pPr>
            <w:r>
              <w:rPr>
                <w:sz w:val="20"/>
                <w:szCs w:val="20"/>
              </w:rPr>
              <w:t>Дата</w:t>
            </w: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8"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49" w:type="dxa"/>
            <w:vAlign w:val="center"/>
          </w:tcPr>
          <w:p>
            <w:pPr>
              <w:pStyle w:val="249"/>
              <w:ind w:left="4"/>
              <w:jc w:val="center"/>
              <w:rPr>
                <w:sz w:val="20"/>
                <w:szCs w:val="20"/>
              </w:rPr>
            </w:pPr>
            <w:r>
              <w:rPr>
                <w:w w:val="99"/>
                <w:sz w:val="20"/>
                <w:szCs w:val="20"/>
              </w:rPr>
              <w:t>X</w:t>
            </w:r>
          </w:p>
        </w:tc>
      </w:tr>
    </w:tbl>
    <w:p>
      <w:pPr>
        <w:spacing w:after="0" w:line="240" w:lineRule="auto"/>
        <w:rPr>
          <w:rFonts w:ascii="Times New Roman" w:hAnsi="Times New Roman"/>
          <w:b/>
          <w:sz w:val="20"/>
          <w:szCs w:val="20"/>
        </w:rPr>
      </w:pPr>
    </w:p>
    <w:tbl>
      <w:tblPr>
        <w:tblStyle w:val="248"/>
        <w:tblW w:w="15477"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7"/>
        <w:gridCol w:w="1276"/>
        <w:gridCol w:w="498"/>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exact"/>
        </w:trPr>
        <w:tc>
          <w:tcPr>
            <w:tcW w:w="3003" w:type="dxa"/>
            <w:gridSpan w:val="2"/>
          </w:tcPr>
          <w:p>
            <w:pPr>
              <w:pStyle w:val="249"/>
              <w:ind w:left="836" w:right="831"/>
              <w:jc w:val="center"/>
              <w:rPr>
                <w:sz w:val="20"/>
                <w:szCs w:val="20"/>
              </w:rPr>
            </w:pPr>
            <w:r>
              <w:rPr>
                <w:sz w:val="20"/>
                <w:szCs w:val="20"/>
              </w:rPr>
              <w:t>Показатель</w:t>
            </w:r>
          </w:p>
        </w:tc>
        <w:tc>
          <w:tcPr>
            <w:tcW w:w="498"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января</w:t>
            </w:r>
          </w:p>
        </w:tc>
        <w:tc>
          <w:tcPr>
            <w:tcW w:w="499"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31</w:t>
            </w:r>
            <w:r>
              <w:rPr>
                <w:spacing w:val="-8"/>
                <w:sz w:val="20"/>
                <w:szCs w:val="20"/>
                <w:lang w:val="ru-RU"/>
              </w:rPr>
              <w:t xml:space="preserve"> </w:t>
            </w:r>
            <w:r>
              <w:rPr>
                <w:spacing w:val="-8"/>
                <w:sz w:val="20"/>
                <w:szCs w:val="20"/>
              </w:rPr>
              <w:t>января</w:t>
            </w:r>
          </w:p>
        </w:tc>
        <w:tc>
          <w:tcPr>
            <w:tcW w:w="499" w:type="dxa"/>
          </w:tcPr>
          <w:p>
            <w:pPr>
              <w:pStyle w:val="249"/>
              <w:ind w:left="0" w:hanging="36"/>
              <w:jc w:val="center"/>
              <w:rPr>
                <w:spacing w:val="-8"/>
                <w:sz w:val="20"/>
                <w:szCs w:val="20"/>
              </w:rPr>
            </w:pPr>
            <w:r>
              <w:rPr>
                <w:spacing w:val="-8"/>
                <w:sz w:val="20"/>
                <w:szCs w:val="20"/>
              </w:rPr>
              <w:t>С 1 по 22 февраля</w:t>
            </w:r>
          </w:p>
        </w:tc>
        <w:tc>
          <w:tcPr>
            <w:tcW w:w="499"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28 (29)</w:t>
            </w:r>
            <w:r>
              <w:rPr>
                <w:spacing w:val="-8"/>
                <w:sz w:val="20"/>
                <w:szCs w:val="20"/>
                <w:lang w:val="ru-RU"/>
              </w:rPr>
              <w:t xml:space="preserve"> </w:t>
            </w:r>
            <w:r>
              <w:rPr>
                <w:spacing w:val="-8"/>
                <w:w w:val="95"/>
                <w:sz w:val="20"/>
                <w:szCs w:val="20"/>
              </w:rPr>
              <w:t>феврал</w:t>
            </w:r>
            <w:r>
              <w:rPr>
                <w:spacing w:val="-8"/>
                <w:sz w:val="20"/>
                <w:szCs w:val="20"/>
              </w:rPr>
              <w:t>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марта</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марта</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апрел</w:t>
            </w:r>
            <w:r>
              <w:rPr>
                <w:spacing w:val="-8"/>
                <w:sz w:val="20"/>
                <w:szCs w:val="20"/>
              </w:rPr>
              <w:t>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30 </w:t>
            </w:r>
            <w:r>
              <w:rPr>
                <w:spacing w:val="-8"/>
                <w:w w:val="95"/>
                <w:sz w:val="20"/>
                <w:szCs w:val="20"/>
              </w:rPr>
              <w:t>апрел</w:t>
            </w:r>
            <w:r>
              <w:rPr>
                <w:spacing w:val="-8"/>
                <w:sz w:val="20"/>
                <w:szCs w:val="20"/>
              </w:rPr>
              <w:t>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 мая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июня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30 </w:t>
            </w:r>
            <w:r>
              <w:rPr>
                <w:spacing w:val="-8"/>
                <w:w w:val="95"/>
                <w:sz w:val="20"/>
                <w:szCs w:val="20"/>
              </w:rPr>
              <w:t>июня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июля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июля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августа</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w:t>
            </w:r>
            <w:r>
              <w:rPr>
                <w:spacing w:val="-8"/>
                <w:w w:val="99"/>
                <w:sz w:val="20"/>
                <w:szCs w:val="20"/>
              </w:rPr>
              <w:t xml:space="preserve"> </w:t>
            </w:r>
            <w:r>
              <w:rPr>
                <w:spacing w:val="-8"/>
                <w:sz w:val="20"/>
                <w:szCs w:val="20"/>
              </w:rPr>
              <w:t>августа</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сентябр</w:t>
            </w:r>
            <w:r>
              <w:rPr>
                <w:spacing w:val="-8"/>
                <w:sz w:val="20"/>
                <w:szCs w:val="20"/>
              </w:rPr>
              <w:t>я</w:t>
            </w:r>
          </w:p>
        </w:tc>
        <w:tc>
          <w:tcPr>
            <w:tcW w:w="499"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30</w:t>
            </w:r>
            <w:r>
              <w:rPr>
                <w:spacing w:val="-8"/>
                <w:sz w:val="20"/>
                <w:szCs w:val="20"/>
                <w:lang w:val="ru-RU"/>
              </w:rPr>
              <w:t xml:space="preserve"> </w:t>
            </w:r>
            <w:r>
              <w:rPr>
                <w:spacing w:val="-8"/>
                <w:w w:val="95"/>
                <w:sz w:val="20"/>
                <w:szCs w:val="20"/>
              </w:rPr>
              <w:t>сентябр</w:t>
            </w:r>
            <w:r>
              <w:rPr>
                <w:spacing w:val="-8"/>
                <w:sz w:val="20"/>
                <w:szCs w:val="20"/>
              </w:rPr>
              <w:t>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октября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октября</w:t>
            </w:r>
          </w:p>
        </w:tc>
        <w:tc>
          <w:tcPr>
            <w:tcW w:w="499"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ноября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ноября</w:t>
            </w:r>
          </w:p>
        </w:tc>
        <w:tc>
          <w:tcPr>
            <w:tcW w:w="499"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декаб</w:t>
            </w:r>
            <w:r>
              <w:rPr>
                <w:spacing w:val="-8"/>
                <w:sz w:val="20"/>
                <w:szCs w:val="20"/>
              </w:rPr>
              <w:t>ря</w:t>
            </w:r>
          </w:p>
        </w:tc>
        <w:tc>
          <w:tcPr>
            <w:tcW w:w="499"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декаб</w:t>
            </w:r>
            <w:r>
              <w:rPr>
                <w:spacing w:val="-8"/>
                <w:sz w:val="20"/>
                <w:szCs w:val="20"/>
              </w:rPr>
              <w:t>ря</w:t>
            </w:r>
          </w:p>
        </w:tc>
        <w:tc>
          <w:tcPr>
            <w:tcW w:w="499" w:type="dxa"/>
          </w:tcPr>
          <w:p>
            <w:pPr>
              <w:pStyle w:val="249"/>
              <w:ind w:left="0"/>
              <w:jc w:val="center"/>
              <w:rPr>
                <w:spacing w:val="-8"/>
                <w:sz w:val="20"/>
                <w:szCs w:val="20"/>
              </w:rPr>
            </w:pPr>
            <w:r>
              <w:rPr>
                <w:spacing w:val="-8"/>
                <w:sz w:val="20"/>
                <w:szCs w:val="20"/>
              </w:rPr>
              <w:t>Итого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5" w:hRule="atLeast"/>
        </w:trPr>
        <w:tc>
          <w:tcPr>
            <w:tcW w:w="1727" w:type="dxa"/>
            <w:vMerge w:val="restart"/>
            <w:vAlign w:val="center"/>
          </w:tcPr>
          <w:p>
            <w:pPr>
              <w:pStyle w:val="249"/>
              <w:ind w:right="-6"/>
              <w:rPr>
                <w:sz w:val="20"/>
                <w:szCs w:val="20"/>
              </w:rPr>
            </w:pPr>
            <w:r>
              <w:rPr>
                <w:sz w:val="20"/>
                <w:szCs w:val="20"/>
              </w:rPr>
              <w:t>Налог, удержанный по ставке 35%</w:t>
            </w:r>
          </w:p>
        </w:tc>
        <w:tc>
          <w:tcPr>
            <w:tcW w:w="1276" w:type="dxa"/>
            <w:vAlign w:val="center"/>
          </w:tcPr>
          <w:p>
            <w:pPr>
              <w:pStyle w:val="249"/>
              <w:rPr>
                <w:sz w:val="20"/>
                <w:szCs w:val="20"/>
              </w:rPr>
            </w:pPr>
            <w:r>
              <w:rPr>
                <w:sz w:val="20"/>
                <w:szCs w:val="20"/>
              </w:rPr>
              <w:t>Сумма</w:t>
            </w:r>
          </w:p>
        </w:tc>
        <w:tc>
          <w:tcPr>
            <w:tcW w:w="498"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trPr>
        <w:tc>
          <w:tcPr>
            <w:tcW w:w="172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276" w:type="dxa"/>
            <w:vAlign w:val="center"/>
          </w:tcPr>
          <w:p>
            <w:pPr>
              <w:pStyle w:val="249"/>
              <w:rPr>
                <w:sz w:val="20"/>
                <w:szCs w:val="20"/>
              </w:rPr>
            </w:pPr>
            <w:r>
              <w:rPr>
                <w:sz w:val="20"/>
                <w:szCs w:val="20"/>
              </w:rPr>
              <w:t>Дата удержания</w:t>
            </w:r>
          </w:p>
        </w:tc>
        <w:tc>
          <w:tcPr>
            <w:tcW w:w="498"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pStyle w:val="249"/>
              <w:ind w:left="2"/>
              <w:jc w:val="center"/>
              <w:rPr>
                <w:sz w:val="20"/>
                <w:szCs w:val="20"/>
              </w:rPr>
            </w:pPr>
            <w:r>
              <w:rPr>
                <w:w w:val="99"/>
                <w:sz w:val="20"/>
                <w:szCs w:val="20"/>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2" w:hRule="atLeast"/>
        </w:trPr>
        <w:tc>
          <w:tcPr>
            <w:tcW w:w="1727" w:type="dxa"/>
            <w:vMerge w:val="restart"/>
            <w:vAlign w:val="center"/>
          </w:tcPr>
          <w:p>
            <w:pPr>
              <w:pStyle w:val="249"/>
              <w:ind w:right="-6"/>
              <w:rPr>
                <w:sz w:val="20"/>
                <w:szCs w:val="20"/>
                <w:lang w:val="ru-RU"/>
              </w:rPr>
            </w:pPr>
            <w:r>
              <w:rPr>
                <w:sz w:val="20"/>
                <w:szCs w:val="20"/>
                <w:lang w:val="ru-RU"/>
              </w:rPr>
              <w:t>Налог по ставке 35%, возвращенный налоговым агентом</w:t>
            </w:r>
          </w:p>
        </w:tc>
        <w:tc>
          <w:tcPr>
            <w:tcW w:w="1276" w:type="dxa"/>
            <w:vAlign w:val="center"/>
          </w:tcPr>
          <w:p>
            <w:pPr>
              <w:pStyle w:val="249"/>
              <w:rPr>
                <w:sz w:val="20"/>
                <w:szCs w:val="20"/>
              </w:rPr>
            </w:pPr>
            <w:r>
              <w:rPr>
                <w:sz w:val="20"/>
                <w:szCs w:val="20"/>
              </w:rPr>
              <w:t>Сумма</w:t>
            </w:r>
          </w:p>
        </w:tc>
        <w:tc>
          <w:tcPr>
            <w:tcW w:w="498"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3" w:hRule="atLeast"/>
        </w:trPr>
        <w:tc>
          <w:tcPr>
            <w:tcW w:w="1727"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276" w:type="dxa"/>
            <w:vAlign w:val="center"/>
          </w:tcPr>
          <w:p>
            <w:pPr>
              <w:pStyle w:val="249"/>
              <w:rPr>
                <w:sz w:val="20"/>
                <w:szCs w:val="20"/>
              </w:rPr>
            </w:pPr>
            <w:r>
              <w:rPr>
                <w:sz w:val="20"/>
                <w:szCs w:val="20"/>
              </w:rPr>
              <w:t>Дата возврата</w:t>
            </w:r>
          </w:p>
        </w:tc>
        <w:tc>
          <w:tcPr>
            <w:tcW w:w="498"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widowControl w:val="0"/>
              <w:autoSpaceDE w:val="0"/>
              <w:autoSpaceDN w:val="0"/>
              <w:spacing w:after="0" w:line="240" w:lineRule="auto"/>
              <w:rPr>
                <w:rFonts w:ascii="Times New Roman" w:hAnsi="Times New Roman"/>
                <w:sz w:val="20"/>
                <w:szCs w:val="20"/>
                <w:lang w:val="en-US"/>
              </w:rPr>
            </w:pPr>
          </w:p>
        </w:tc>
        <w:tc>
          <w:tcPr>
            <w:tcW w:w="499" w:type="dxa"/>
          </w:tcPr>
          <w:p>
            <w:pPr>
              <w:pStyle w:val="249"/>
              <w:ind w:left="2"/>
              <w:jc w:val="center"/>
              <w:rPr>
                <w:sz w:val="20"/>
                <w:szCs w:val="20"/>
              </w:rPr>
            </w:pPr>
            <w:r>
              <w:rPr>
                <w:w w:val="99"/>
                <w:sz w:val="20"/>
                <w:szCs w:val="20"/>
              </w:rPr>
              <w:t>X</w:t>
            </w:r>
          </w:p>
        </w:tc>
      </w:tr>
    </w:tbl>
    <w:p>
      <w:pPr>
        <w:spacing w:after="0" w:line="240" w:lineRule="auto"/>
        <w:rPr>
          <w:rFonts w:ascii="Times New Roman" w:hAnsi="Times New Roman"/>
        </w:rPr>
      </w:pPr>
    </w:p>
    <w:p>
      <w:pPr>
        <w:pStyle w:val="3"/>
        <w:spacing w:after="0" w:line="240" w:lineRule="auto"/>
        <w:ind w:left="147" w:right="44"/>
        <w:jc w:val="both"/>
        <w:rPr>
          <w:rFonts w:ascii="Times New Roman" w:hAnsi="Times New Roman"/>
          <w:b/>
          <w:sz w:val="24"/>
          <w:szCs w:val="24"/>
        </w:rPr>
      </w:pPr>
      <w:r>
        <w:rPr>
          <w:rFonts w:ascii="Times New Roman" w:hAnsi="Times New Roman"/>
          <w:b/>
          <w:w w:val="105"/>
          <w:sz w:val="24"/>
          <w:szCs w:val="24"/>
        </w:rPr>
        <w:t>Раздел</w:t>
      </w:r>
      <w:r>
        <w:rPr>
          <w:rFonts w:ascii="Times New Roman" w:hAnsi="Times New Roman"/>
          <w:b/>
          <w:spacing w:val="-6"/>
          <w:w w:val="105"/>
          <w:sz w:val="24"/>
          <w:szCs w:val="24"/>
        </w:rPr>
        <w:t xml:space="preserve"> </w:t>
      </w:r>
      <w:r>
        <w:rPr>
          <w:rFonts w:ascii="Times New Roman" w:hAnsi="Times New Roman"/>
          <w:b/>
          <w:w w:val="105"/>
          <w:sz w:val="24"/>
          <w:szCs w:val="24"/>
        </w:rPr>
        <w:t>8.</w:t>
      </w:r>
      <w:r>
        <w:rPr>
          <w:rFonts w:ascii="Times New Roman" w:hAnsi="Times New Roman"/>
          <w:b/>
          <w:spacing w:val="-6"/>
          <w:w w:val="105"/>
          <w:sz w:val="24"/>
          <w:szCs w:val="24"/>
        </w:rPr>
        <w:t xml:space="preserve"> </w:t>
      </w:r>
      <w:r>
        <w:rPr>
          <w:rFonts w:ascii="Times New Roman" w:hAnsi="Times New Roman"/>
          <w:b/>
          <w:w w:val="105"/>
          <w:sz w:val="24"/>
          <w:szCs w:val="24"/>
        </w:rPr>
        <w:t>Доходы</w:t>
      </w:r>
      <w:r>
        <w:rPr>
          <w:rFonts w:ascii="Times New Roman" w:hAnsi="Times New Roman"/>
          <w:b/>
          <w:spacing w:val="-5"/>
          <w:w w:val="105"/>
          <w:sz w:val="24"/>
          <w:szCs w:val="24"/>
        </w:rPr>
        <w:t xml:space="preserve"> </w:t>
      </w:r>
      <w:r>
        <w:rPr>
          <w:rFonts w:ascii="Times New Roman" w:hAnsi="Times New Roman"/>
          <w:b/>
          <w:w w:val="105"/>
          <w:sz w:val="24"/>
          <w:szCs w:val="24"/>
        </w:rPr>
        <w:t>налогового</w:t>
      </w:r>
      <w:r>
        <w:rPr>
          <w:rFonts w:ascii="Times New Roman" w:hAnsi="Times New Roman"/>
          <w:b/>
          <w:spacing w:val="-5"/>
          <w:w w:val="105"/>
          <w:sz w:val="24"/>
          <w:szCs w:val="24"/>
        </w:rPr>
        <w:t xml:space="preserve"> </w:t>
      </w:r>
      <w:r>
        <w:rPr>
          <w:rFonts w:ascii="Times New Roman" w:hAnsi="Times New Roman"/>
          <w:b/>
          <w:w w:val="105"/>
          <w:sz w:val="24"/>
          <w:szCs w:val="24"/>
        </w:rPr>
        <w:t>резидента</w:t>
      </w:r>
      <w:r>
        <w:rPr>
          <w:rFonts w:ascii="Times New Roman" w:hAnsi="Times New Roman"/>
          <w:b/>
          <w:spacing w:val="-5"/>
          <w:w w:val="105"/>
          <w:sz w:val="24"/>
          <w:szCs w:val="24"/>
        </w:rPr>
        <w:t xml:space="preserve"> </w:t>
      </w:r>
      <w:r>
        <w:rPr>
          <w:rFonts w:ascii="Times New Roman" w:hAnsi="Times New Roman"/>
          <w:b/>
          <w:w w:val="105"/>
          <w:sz w:val="24"/>
          <w:szCs w:val="24"/>
        </w:rPr>
        <w:t>РФ</w:t>
      </w:r>
      <w:r>
        <w:rPr>
          <w:rFonts w:ascii="Times New Roman" w:hAnsi="Times New Roman"/>
          <w:b/>
          <w:spacing w:val="-3"/>
          <w:w w:val="105"/>
          <w:sz w:val="24"/>
          <w:szCs w:val="24"/>
        </w:rPr>
        <w:t xml:space="preserve"> </w:t>
      </w:r>
      <w:r>
        <w:rPr>
          <w:rFonts w:ascii="Times New Roman" w:hAnsi="Times New Roman"/>
          <w:b/>
          <w:w w:val="105"/>
          <w:sz w:val="24"/>
          <w:szCs w:val="24"/>
        </w:rPr>
        <w:t>(кроме дивидендов),</w:t>
      </w:r>
      <w:r>
        <w:rPr>
          <w:rFonts w:ascii="Times New Roman" w:hAnsi="Times New Roman"/>
          <w:b/>
          <w:spacing w:val="-6"/>
          <w:w w:val="105"/>
          <w:sz w:val="24"/>
          <w:szCs w:val="24"/>
        </w:rPr>
        <w:t xml:space="preserve"> </w:t>
      </w:r>
      <w:r>
        <w:rPr>
          <w:rFonts w:ascii="Times New Roman" w:hAnsi="Times New Roman"/>
          <w:b/>
          <w:w w:val="105"/>
          <w:sz w:val="24"/>
          <w:szCs w:val="24"/>
        </w:rPr>
        <w:t>облагаемые</w:t>
      </w:r>
      <w:r>
        <w:rPr>
          <w:rFonts w:ascii="Times New Roman" w:hAnsi="Times New Roman"/>
          <w:b/>
          <w:spacing w:val="-5"/>
          <w:w w:val="105"/>
          <w:sz w:val="24"/>
          <w:szCs w:val="24"/>
        </w:rPr>
        <w:t xml:space="preserve"> </w:t>
      </w:r>
      <w:r>
        <w:rPr>
          <w:rFonts w:ascii="Times New Roman" w:hAnsi="Times New Roman"/>
          <w:b/>
          <w:w w:val="105"/>
          <w:sz w:val="24"/>
          <w:szCs w:val="24"/>
        </w:rPr>
        <w:t>по</w:t>
      </w:r>
      <w:r>
        <w:rPr>
          <w:rFonts w:ascii="Times New Roman" w:hAnsi="Times New Roman"/>
          <w:b/>
          <w:spacing w:val="-5"/>
          <w:w w:val="105"/>
          <w:sz w:val="24"/>
          <w:szCs w:val="24"/>
        </w:rPr>
        <w:t xml:space="preserve"> </w:t>
      </w:r>
      <w:r>
        <w:rPr>
          <w:rFonts w:ascii="Times New Roman" w:hAnsi="Times New Roman"/>
          <w:b/>
          <w:w w:val="105"/>
          <w:sz w:val="24"/>
          <w:szCs w:val="24"/>
        </w:rPr>
        <w:t>ставке</w:t>
      </w:r>
      <w:r>
        <w:rPr>
          <w:rFonts w:ascii="Times New Roman" w:hAnsi="Times New Roman"/>
          <w:b/>
          <w:spacing w:val="-5"/>
          <w:w w:val="105"/>
          <w:sz w:val="24"/>
          <w:szCs w:val="24"/>
        </w:rPr>
        <w:t xml:space="preserve"> </w:t>
      </w:r>
      <w:r>
        <w:rPr>
          <w:rFonts w:ascii="Times New Roman" w:hAnsi="Times New Roman"/>
          <w:b/>
          <w:w w:val="105"/>
          <w:sz w:val="24"/>
          <w:szCs w:val="24"/>
        </w:rPr>
        <w:t>(прогрессивной</w:t>
      </w:r>
      <w:r>
        <w:rPr>
          <w:rFonts w:ascii="Times New Roman" w:hAnsi="Times New Roman"/>
          <w:b/>
          <w:spacing w:val="-7"/>
          <w:w w:val="105"/>
          <w:sz w:val="24"/>
          <w:szCs w:val="24"/>
        </w:rPr>
        <w:t xml:space="preserve"> </w:t>
      </w:r>
      <w:r>
        <w:rPr>
          <w:rFonts w:ascii="Times New Roman" w:hAnsi="Times New Roman"/>
          <w:b/>
          <w:w w:val="105"/>
          <w:sz w:val="24"/>
          <w:szCs w:val="24"/>
        </w:rPr>
        <w:t>шкале</w:t>
      </w:r>
      <w:r>
        <w:rPr>
          <w:rFonts w:ascii="Times New Roman" w:hAnsi="Times New Roman"/>
          <w:b/>
          <w:spacing w:val="-5"/>
          <w:w w:val="105"/>
          <w:sz w:val="24"/>
          <w:szCs w:val="24"/>
        </w:rPr>
        <w:t xml:space="preserve"> </w:t>
      </w:r>
      <w:r>
        <w:rPr>
          <w:rFonts w:ascii="Times New Roman" w:hAnsi="Times New Roman"/>
          <w:b/>
          <w:w w:val="105"/>
          <w:sz w:val="24"/>
          <w:szCs w:val="24"/>
        </w:rPr>
        <w:t>13%,</w:t>
      </w:r>
      <w:r>
        <w:rPr>
          <w:rFonts w:ascii="Times New Roman" w:hAnsi="Times New Roman"/>
          <w:b/>
          <w:spacing w:val="-6"/>
          <w:w w:val="105"/>
          <w:sz w:val="24"/>
          <w:szCs w:val="24"/>
        </w:rPr>
        <w:t xml:space="preserve"> </w:t>
      </w:r>
      <w:r>
        <w:rPr>
          <w:rFonts w:ascii="Times New Roman" w:hAnsi="Times New Roman"/>
          <w:b/>
          <w:w w:val="105"/>
          <w:sz w:val="24"/>
          <w:szCs w:val="24"/>
        </w:rPr>
        <w:t>15%),</w:t>
      </w:r>
      <w:r>
        <w:rPr>
          <w:rFonts w:ascii="Times New Roman" w:hAnsi="Times New Roman"/>
          <w:b/>
          <w:spacing w:val="-6"/>
          <w:w w:val="105"/>
          <w:sz w:val="24"/>
          <w:szCs w:val="24"/>
        </w:rPr>
        <w:t xml:space="preserve"> </w:t>
      </w:r>
      <w:r>
        <w:rPr>
          <w:rFonts w:ascii="Times New Roman" w:hAnsi="Times New Roman"/>
          <w:b/>
          <w:w w:val="105"/>
          <w:sz w:val="24"/>
          <w:szCs w:val="24"/>
        </w:rPr>
        <w:t>предусмотренной</w:t>
      </w:r>
      <w:r>
        <w:rPr>
          <w:rFonts w:ascii="Times New Roman" w:hAnsi="Times New Roman"/>
          <w:b/>
          <w:spacing w:val="-7"/>
          <w:w w:val="105"/>
          <w:sz w:val="24"/>
          <w:szCs w:val="24"/>
        </w:rPr>
        <w:t xml:space="preserve"> </w:t>
      </w:r>
      <w:r>
        <w:rPr>
          <w:rFonts w:ascii="Times New Roman" w:hAnsi="Times New Roman"/>
          <w:b/>
          <w:w w:val="105"/>
          <w:sz w:val="24"/>
          <w:szCs w:val="24"/>
        </w:rPr>
        <w:t>п.</w:t>
      </w:r>
      <w:r>
        <w:rPr>
          <w:rFonts w:ascii="Times New Roman" w:hAnsi="Times New Roman"/>
          <w:b/>
          <w:spacing w:val="-6"/>
          <w:w w:val="105"/>
          <w:sz w:val="24"/>
          <w:szCs w:val="24"/>
        </w:rPr>
        <w:t xml:space="preserve"> </w:t>
      </w:r>
      <w:r>
        <w:rPr>
          <w:rFonts w:ascii="Times New Roman" w:hAnsi="Times New Roman"/>
          <w:b/>
          <w:w w:val="105"/>
          <w:sz w:val="24"/>
          <w:szCs w:val="24"/>
        </w:rPr>
        <w:t>1.1</w:t>
      </w:r>
      <w:r>
        <w:rPr>
          <w:rFonts w:ascii="Times New Roman" w:hAnsi="Times New Roman"/>
          <w:b/>
          <w:spacing w:val="-5"/>
          <w:w w:val="105"/>
          <w:sz w:val="24"/>
          <w:szCs w:val="24"/>
        </w:rPr>
        <w:t xml:space="preserve"> </w:t>
      </w:r>
      <w:r>
        <w:rPr>
          <w:rFonts w:ascii="Times New Roman" w:hAnsi="Times New Roman"/>
          <w:b/>
          <w:w w:val="105"/>
          <w:sz w:val="24"/>
          <w:szCs w:val="24"/>
        </w:rPr>
        <w:t>ст.</w:t>
      </w:r>
      <w:r>
        <w:rPr>
          <w:rFonts w:ascii="Times New Roman" w:hAnsi="Times New Roman"/>
          <w:b/>
          <w:spacing w:val="-6"/>
          <w:w w:val="105"/>
          <w:sz w:val="24"/>
          <w:szCs w:val="24"/>
        </w:rPr>
        <w:t xml:space="preserve"> </w:t>
      </w:r>
      <w:r>
        <w:rPr>
          <w:rFonts w:ascii="Times New Roman" w:hAnsi="Times New Roman"/>
          <w:b/>
          <w:w w:val="105"/>
          <w:sz w:val="24"/>
          <w:szCs w:val="24"/>
        </w:rPr>
        <w:t>224</w:t>
      </w:r>
      <w:r>
        <w:rPr>
          <w:rFonts w:ascii="Times New Roman" w:hAnsi="Times New Roman"/>
          <w:b/>
          <w:spacing w:val="-5"/>
          <w:w w:val="105"/>
          <w:sz w:val="24"/>
          <w:szCs w:val="24"/>
        </w:rPr>
        <w:t xml:space="preserve"> </w:t>
      </w:r>
      <w:r>
        <w:rPr>
          <w:rFonts w:ascii="Times New Roman" w:hAnsi="Times New Roman"/>
          <w:b/>
          <w:w w:val="105"/>
          <w:sz w:val="24"/>
          <w:szCs w:val="24"/>
        </w:rPr>
        <w:t>НК</w:t>
      </w:r>
      <w:r>
        <w:rPr>
          <w:rFonts w:ascii="Times New Roman" w:hAnsi="Times New Roman"/>
          <w:b/>
          <w:spacing w:val="-6"/>
          <w:w w:val="105"/>
          <w:sz w:val="24"/>
          <w:szCs w:val="24"/>
        </w:rPr>
        <w:t xml:space="preserve"> </w:t>
      </w:r>
      <w:r>
        <w:rPr>
          <w:rFonts w:ascii="Times New Roman" w:hAnsi="Times New Roman"/>
          <w:b/>
          <w:w w:val="105"/>
          <w:sz w:val="24"/>
          <w:szCs w:val="24"/>
        </w:rPr>
        <w:t>РФ,</w:t>
      </w:r>
      <w:r>
        <w:rPr>
          <w:rFonts w:ascii="Times New Roman" w:hAnsi="Times New Roman"/>
          <w:b/>
          <w:spacing w:val="-6"/>
          <w:w w:val="105"/>
          <w:sz w:val="24"/>
          <w:szCs w:val="24"/>
        </w:rPr>
        <w:t xml:space="preserve"> </w:t>
      </w:r>
      <w:r>
        <w:rPr>
          <w:rFonts w:ascii="Times New Roman" w:hAnsi="Times New Roman"/>
          <w:b/>
          <w:w w:val="105"/>
          <w:sz w:val="24"/>
          <w:szCs w:val="24"/>
        </w:rPr>
        <w:t>и</w:t>
      </w:r>
      <w:r>
        <w:rPr>
          <w:rFonts w:ascii="Times New Roman" w:hAnsi="Times New Roman"/>
          <w:b/>
          <w:spacing w:val="-7"/>
          <w:w w:val="105"/>
          <w:sz w:val="24"/>
          <w:szCs w:val="24"/>
        </w:rPr>
        <w:t xml:space="preserve"> </w:t>
      </w:r>
      <w:r>
        <w:rPr>
          <w:rFonts w:ascii="Times New Roman" w:hAnsi="Times New Roman"/>
          <w:b/>
          <w:w w:val="105"/>
          <w:sz w:val="24"/>
          <w:szCs w:val="24"/>
        </w:rPr>
        <w:t>сумма налога</w:t>
      </w:r>
    </w:p>
    <w:p>
      <w:pPr>
        <w:spacing w:after="0" w:line="240" w:lineRule="auto"/>
        <w:rPr>
          <w:rFonts w:ascii="Times New Roman" w:hAnsi="Times New Roman"/>
          <w:b/>
          <w:sz w:val="16"/>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8"/>
        <w:gridCol w:w="1134"/>
        <w:gridCol w:w="959"/>
        <w:gridCol w:w="960"/>
        <w:gridCol w:w="959"/>
        <w:gridCol w:w="960"/>
        <w:gridCol w:w="959"/>
        <w:gridCol w:w="960"/>
        <w:gridCol w:w="959"/>
        <w:gridCol w:w="960"/>
        <w:gridCol w:w="959"/>
        <w:gridCol w:w="960"/>
        <w:gridCol w:w="959"/>
        <w:gridCol w:w="960"/>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exact"/>
        </w:trPr>
        <w:tc>
          <w:tcPr>
            <w:tcW w:w="3002" w:type="dxa"/>
            <w:gridSpan w:val="2"/>
          </w:tcPr>
          <w:p>
            <w:pPr>
              <w:pStyle w:val="249"/>
              <w:ind w:left="0"/>
              <w:jc w:val="center"/>
              <w:rPr>
                <w:sz w:val="20"/>
                <w:szCs w:val="20"/>
              </w:rPr>
            </w:pPr>
            <w:r>
              <w:rPr>
                <w:sz w:val="20"/>
                <w:szCs w:val="20"/>
              </w:rPr>
              <w:t>Показатель</w:t>
            </w:r>
          </w:p>
        </w:tc>
        <w:tc>
          <w:tcPr>
            <w:tcW w:w="959" w:type="dxa"/>
          </w:tcPr>
          <w:p>
            <w:pPr>
              <w:pStyle w:val="249"/>
              <w:ind w:left="0"/>
              <w:jc w:val="center"/>
              <w:rPr>
                <w:sz w:val="20"/>
                <w:szCs w:val="20"/>
              </w:rPr>
            </w:pPr>
            <w:r>
              <w:rPr>
                <w:sz w:val="20"/>
                <w:szCs w:val="20"/>
              </w:rPr>
              <w:t>Январь</w:t>
            </w:r>
          </w:p>
        </w:tc>
        <w:tc>
          <w:tcPr>
            <w:tcW w:w="960" w:type="dxa"/>
          </w:tcPr>
          <w:p>
            <w:pPr>
              <w:pStyle w:val="249"/>
              <w:ind w:left="0"/>
              <w:jc w:val="center"/>
              <w:rPr>
                <w:sz w:val="20"/>
                <w:szCs w:val="20"/>
              </w:rPr>
            </w:pPr>
            <w:r>
              <w:rPr>
                <w:sz w:val="20"/>
                <w:szCs w:val="20"/>
              </w:rPr>
              <w:t>Февраль</w:t>
            </w:r>
          </w:p>
        </w:tc>
        <w:tc>
          <w:tcPr>
            <w:tcW w:w="959" w:type="dxa"/>
          </w:tcPr>
          <w:p>
            <w:pPr>
              <w:pStyle w:val="249"/>
              <w:ind w:left="0"/>
              <w:jc w:val="center"/>
              <w:rPr>
                <w:sz w:val="20"/>
                <w:szCs w:val="20"/>
              </w:rPr>
            </w:pPr>
            <w:r>
              <w:rPr>
                <w:sz w:val="20"/>
                <w:szCs w:val="20"/>
              </w:rPr>
              <w:t>Март</w:t>
            </w:r>
          </w:p>
        </w:tc>
        <w:tc>
          <w:tcPr>
            <w:tcW w:w="960" w:type="dxa"/>
          </w:tcPr>
          <w:p>
            <w:pPr>
              <w:pStyle w:val="249"/>
              <w:ind w:left="0"/>
              <w:jc w:val="center"/>
              <w:rPr>
                <w:sz w:val="20"/>
                <w:szCs w:val="20"/>
              </w:rPr>
            </w:pPr>
            <w:r>
              <w:rPr>
                <w:sz w:val="20"/>
                <w:szCs w:val="20"/>
              </w:rPr>
              <w:t>Апрель</w:t>
            </w:r>
          </w:p>
        </w:tc>
        <w:tc>
          <w:tcPr>
            <w:tcW w:w="959" w:type="dxa"/>
          </w:tcPr>
          <w:p>
            <w:pPr>
              <w:pStyle w:val="249"/>
              <w:ind w:left="0"/>
              <w:jc w:val="center"/>
              <w:rPr>
                <w:sz w:val="20"/>
                <w:szCs w:val="20"/>
              </w:rPr>
            </w:pPr>
            <w:r>
              <w:rPr>
                <w:sz w:val="20"/>
                <w:szCs w:val="20"/>
              </w:rPr>
              <w:t>Май</w:t>
            </w:r>
          </w:p>
        </w:tc>
        <w:tc>
          <w:tcPr>
            <w:tcW w:w="960" w:type="dxa"/>
          </w:tcPr>
          <w:p>
            <w:pPr>
              <w:pStyle w:val="249"/>
              <w:ind w:left="0"/>
              <w:jc w:val="center"/>
              <w:rPr>
                <w:sz w:val="20"/>
                <w:szCs w:val="20"/>
              </w:rPr>
            </w:pPr>
            <w:r>
              <w:rPr>
                <w:sz w:val="20"/>
                <w:szCs w:val="20"/>
              </w:rPr>
              <w:t>Июнь</w:t>
            </w:r>
          </w:p>
        </w:tc>
        <w:tc>
          <w:tcPr>
            <w:tcW w:w="959" w:type="dxa"/>
          </w:tcPr>
          <w:p>
            <w:pPr>
              <w:pStyle w:val="249"/>
              <w:ind w:left="0"/>
              <w:jc w:val="center"/>
              <w:rPr>
                <w:sz w:val="20"/>
                <w:szCs w:val="20"/>
              </w:rPr>
            </w:pPr>
            <w:r>
              <w:rPr>
                <w:sz w:val="20"/>
                <w:szCs w:val="20"/>
              </w:rPr>
              <w:t>Июль</w:t>
            </w:r>
          </w:p>
        </w:tc>
        <w:tc>
          <w:tcPr>
            <w:tcW w:w="960" w:type="dxa"/>
          </w:tcPr>
          <w:p>
            <w:pPr>
              <w:pStyle w:val="249"/>
              <w:ind w:left="0"/>
              <w:jc w:val="center"/>
              <w:rPr>
                <w:sz w:val="20"/>
                <w:szCs w:val="20"/>
              </w:rPr>
            </w:pPr>
            <w:r>
              <w:rPr>
                <w:sz w:val="20"/>
                <w:szCs w:val="20"/>
              </w:rPr>
              <w:t>Август</w:t>
            </w:r>
          </w:p>
        </w:tc>
        <w:tc>
          <w:tcPr>
            <w:tcW w:w="959" w:type="dxa"/>
          </w:tcPr>
          <w:p>
            <w:pPr>
              <w:pStyle w:val="249"/>
              <w:ind w:left="0"/>
              <w:jc w:val="center"/>
              <w:rPr>
                <w:sz w:val="20"/>
                <w:szCs w:val="20"/>
              </w:rPr>
            </w:pPr>
            <w:r>
              <w:rPr>
                <w:sz w:val="20"/>
                <w:szCs w:val="20"/>
              </w:rPr>
              <w:t>Сентябрь</w:t>
            </w:r>
          </w:p>
        </w:tc>
        <w:tc>
          <w:tcPr>
            <w:tcW w:w="960" w:type="dxa"/>
          </w:tcPr>
          <w:p>
            <w:pPr>
              <w:pStyle w:val="249"/>
              <w:ind w:left="0"/>
              <w:jc w:val="center"/>
              <w:rPr>
                <w:sz w:val="20"/>
                <w:szCs w:val="20"/>
              </w:rPr>
            </w:pPr>
            <w:r>
              <w:rPr>
                <w:sz w:val="20"/>
                <w:szCs w:val="20"/>
              </w:rPr>
              <w:t>Октябрь</w:t>
            </w:r>
          </w:p>
        </w:tc>
        <w:tc>
          <w:tcPr>
            <w:tcW w:w="959" w:type="dxa"/>
          </w:tcPr>
          <w:p>
            <w:pPr>
              <w:pStyle w:val="249"/>
              <w:ind w:left="0"/>
              <w:jc w:val="center"/>
              <w:rPr>
                <w:sz w:val="20"/>
                <w:szCs w:val="20"/>
              </w:rPr>
            </w:pPr>
            <w:r>
              <w:rPr>
                <w:sz w:val="20"/>
                <w:szCs w:val="20"/>
              </w:rPr>
              <w:t>Ноябрь</w:t>
            </w:r>
          </w:p>
        </w:tc>
        <w:tc>
          <w:tcPr>
            <w:tcW w:w="960" w:type="dxa"/>
          </w:tcPr>
          <w:p>
            <w:pPr>
              <w:pStyle w:val="249"/>
              <w:ind w:left="0"/>
              <w:jc w:val="center"/>
              <w:rPr>
                <w:sz w:val="20"/>
                <w:szCs w:val="20"/>
              </w:rPr>
            </w:pPr>
            <w:r>
              <w:rPr>
                <w:sz w:val="20"/>
                <w:szCs w:val="20"/>
              </w:rPr>
              <w:t>Декабрь</w:t>
            </w:r>
          </w:p>
        </w:tc>
        <w:tc>
          <w:tcPr>
            <w:tcW w:w="960" w:type="dxa"/>
          </w:tcPr>
          <w:p>
            <w:pPr>
              <w:pStyle w:val="249"/>
              <w:ind w:left="0"/>
              <w:jc w:val="center"/>
              <w:rPr>
                <w:sz w:val="20"/>
                <w:szCs w:val="20"/>
              </w:rPr>
            </w:pPr>
            <w:r>
              <w:rPr>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1868" w:type="dxa"/>
            <w:vMerge w:val="restart"/>
            <w:vAlign w:val="center"/>
          </w:tcPr>
          <w:p>
            <w:pPr>
              <w:pStyle w:val="249"/>
              <w:tabs>
                <w:tab w:val="left" w:pos="979"/>
              </w:tabs>
              <w:rPr>
                <w:sz w:val="20"/>
                <w:szCs w:val="20"/>
                <w:lang w:val="ru-RU"/>
              </w:rPr>
            </w:pPr>
            <w:r>
              <w:rPr>
                <w:sz w:val="20"/>
                <w:szCs w:val="20"/>
              </w:rPr>
              <w:t>Доход/код</w:t>
            </w:r>
            <w:r>
              <w:rPr>
                <w:spacing w:val="-1"/>
                <w:sz w:val="20"/>
                <w:szCs w:val="20"/>
              </w:rPr>
              <w:t xml:space="preserve"> </w:t>
            </w:r>
            <w:r>
              <w:rPr>
                <w:w w:val="99"/>
                <w:sz w:val="20"/>
                <w:szCs w:val="20"/>
                <w:lang w:val="ru-RU"/>
              </w:rPr>
              <w:t>_______</w:t>
            </w:r>
          </w:p>
        </w:tc>
        <w:tc>
          <w:tcPr>
            <w:tcW w:w="1134" w:type="dxa"/>
            <w:vAlign w:val="center"/>
          </w:tcPr>
          <w:p>
            <w:pPr>
              <w:pStyle w:val="249"/>
              <w:rPr>
                <w:sz w:val="20"/>
                <w:szCs w:val="20"/>
              </w:rPr>
            </w:pPr>
            <w:r>
              <w:rPr>
                <w:sz w:val="20"/>
                <w:szCs w:val="20"/>
              </w:rPr>
              <w:t>Сумма</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1868"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 получения</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1868" w:type="dxa"/>
            <w:vAlign w:val="center"/>
          </w:tcPr>
          <w:p>
            <w:pPr>
              <w:pStyle w:val="249"/>
              <w:ind w:right="90"/>
              <w:rPr>
                <w:sz w:val="20"/>
                <w:szCs w:val="20"/>
                <w:lang w:val="ru-RU"/>
              </w:rPr>
            </w:pPr>
            <w:r>
              <w:rPr>
                <w:sz w:val="20"/>
                <w:szCs w:val="20"/>
                <w:lang w:val="ru-RU"/>
              </w:rPr>
              <w:t>Вычеты в размерах, предусмотренных ст. 217 НК РФ</w:t>
            </w:r>
          </w:p>
        </w:tc>
        <w:tc>
          <w:tcPr>
            <w:tcW w:w="1134" w:type="dxa"/>
            <w:vAlign w:val="center"/>
          </w:tcPr>
          <w:p>
            <w:pPr>
              <w:pStyle w:val="249"/>
              <w:tabs>
                <w:tab w:val="left" w:pos="802"/>
              </w:tabs>
              <w:rPr>
                <w:sz w:val="20"/>
                <w:szCs w:val="20"/>
                <w:lang w:val="ru-RU"/>
              </w:rPr>
            </w:pPr>
            <w:r>
              <w:rPr>
                <w:sz w:val="20"/>
                <w:szCs w:val="20"/>
              </w:rPr>
              <w:t>Код</w:t>
            </w:r>
            <w:r>
              <w:rPr>
                <w:sz w:val="20"/>
                <w:szCs w:val="20"/>
                <w:lang w:val="ru-RU"/>
              </w:rPr>
              <w:t xml:space="preserve"> ______</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3002" w:type="dxa"/>
            <w:gridSpan w:val="2"/>
            <w:vAlign w:val="center"/>
          </w:tcPr>
          <w:p>
            <w:pPr>
              <w:pStyle w:val="249"/>
              <w:ind w:right="151"/>
              <w:rPr>
                <w:sz w:val="20"/>
                <w:szCs w:val="20"/>
                <w:lang w:val="ru-RU"/>
              </w:rPr>
            </w:pPr>
            <w:r>
              <w:rPr>
                <w:sz w:val="20"/>
                <w:szCs w:val="20"/>
                <w:lang w:val="ru-RU"/>
              </w:rPr>
              <w:t>Вычеты, предусмотренные п. 6 ст. 210 НК РФ</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868" w:type="dxa"/>
            <w:vMerge w:val="restart"/>
            <w:vAlign w:val="center"/>
          </w:tcPr>
          <w:p>
            <w:pPr>
              <w:pStyle w:val="249"/>
              <w:ind w:right="19"/>
              <w:rPr>
                <w:sz w:val="20"/>
                <w:szCs w:val="20"/>
                <w:lang w:val="ru-RU"/>
              </w:rPr>
            </w:pPr>
            <w:r>
              <w:rPr>
                <w:sz w:val="20"/>
                <w:szCs w:val="20"/>
                <w:lang w:val="ru-RU"/>
              </w:rPr>
              <w:t>Совокупная налоговая база (с начала года)</w:t>
            </w:r>
          </w:p>
        </w:tc>
        <w:tc>
          <w:tcPr>
            <w:tcW w:w="1134" w:type="dxa"/>
            <w:vAlign w:val="center"/>
          </w:tcPr>
          <w:p>
            <w:pPr>
              <w:pStyle w:val="249"/>
              <w:ind w:right="176"/>
              <w:rPr>
                <w:sz w:val="20"/>
                <w:szCs w:val="20"/>
              </w:rPr>
            </w:pPr>
            <w:r>
              <w:rPr>
                <w:sz w:val="20"/>
                <w:szCs w:val="20"/>
              </w:rPr>
              <w:t>в пределах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 w:hRule="atLeast"/>
        </w:trPr>
        <w:tc>
          <w:tcPr>
            <w:tcW w:w="1868"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60"/>
              <w:rPr>
                <w:sz w:val="20"/>
                <w:szCs w:val="20"/>
              </w:rPr>
            </w:pPr>
            <w:r>
              <w:rPr>
                <w:sz w:val="20"/>
                <w:szCs w:val="20"/>
              </w:rPr>
              <w:t>свыше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1868"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всего</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2" w:hRule="atLeast"/>
        </w:trPr>
        <w:tc>
          <w:tcPr>
            <w:tcW w:w="3002" w:type="dxa"/>
            <w:gridSpan w:val="2"/>
            <w:vAlign w:val="center"/>
          </w:tcPr>
          <w:p>
            <w:pPr>
              <w:pStyle w:val="249"/>
              <w:ind w:right="196"/>
              <w:rPr>
                <w:sz w:val="20"/>
                <w:szCs w:val="20"/>
                <w:lang w:val="ru-RU"/>
              </w:rPr>
            </w:pPr>
            <w:r>
              <w:rPr>
                <w:sz w:val="20"/>
                <w:szCs w:val="20"/>
                <w:lang w:val="ru-RU"/>
              </w:rPr>
              <w:t>Сумма налога, исчисленная по ставке 13% с совокупной налоговой базы в пределах 2,4 млн руб., нарастающим итогом</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002" w:type="dxa"/>
            <w:gridSpan w:val="2"/>
            <w:vAlign w:val="center"/>
          </w:tcPr>
          <w:p>
            <w:pPr>
              <w:pStyle w:val="249"/>
              <w:ind w:right="6"/>
              <w:rPr>
                <w:sz w:val="20"/>
                <w:szCs w:val="20"/>
                <w:lang w:val="ru-RU"/>
              </w:rPr>
            </w:pPr>
            <w:r>
              <w:rPr>
                <w:sz w:val="20"/>
                <w:szCs w:val="20"/>
                <w:lang w:val="ru-RU"/>
              </w:rPr>
              <w:t>Сумма налога, исчисленная по ставке 15% с части совокупной налоговой базы, превышающей 2,4 млн руб., нарастающим итогом</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3002" w:type="dxa"/>
            <w:gridSpan w:val="2"/>
            <w:vAlign w:val="center"/>
          </w:tcPr>
          <w:p>
            <w:pPr>
              <w:pStyle w:val="249"/>
              <w:ind w:right="237"/>
              <w:rPr>
                <w:sz w:val="20"/>
                <w:szCs w:val="20"/>
                <w:lang w:val="ru-RU"/>
              </w:rPr>
            </w:pPr>
            <w:r>
              <w:rPr>
                <w:sz w:val="20"/>
                <w:szCs w:val="20"/>
                <w:lang w:val="ru-RU"/>
              </w:rPr>
              <w:t>Сумма налога, удержанная по ставке 13% с совокупной налоговой базы в пределах 2,4 млн руб., нарастающим итогом</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3002" w:type="dxa"/>
            <w:gridSpan w:val="2"/>
            <w:vAlign w:val="center"/>
          </w:tcPr>
          <w:p>
            <w:pPr>
              <w:pStyle w:val="249"/>
              <w:ind w:right="19"/>
              <w:rPr>
                <w:sz w:val="20"/>
                <w:szCs w:val="20"/>
                <w:lang w:val="ru-RU"/>
              </w:rPr>
            </w:pPr>
            <w:r>
              <w:rPr>
                <w:sz w:val="20"/>
                <w:szCs w:val="20"/>
                <w:lang w:val="ru-RU"/>
              </w:rPr>
              <w:t>Сумма налога, удержанная по ставке 15% с части совокупной налоговой базы, превышающей 2,4 млн руб., нарастающим итогом</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3002" w:type="dxa"/>
            <w:gridSpan w:val="2"/>
            <w:vAlign w:val="center"/>
          </w:tcPr>
          <w:p>
            <w:pPr>
              <w:pStyle w:val="249"/>
              <w:ind w:right="6"/>
              <w:rPr>
                <w:sz w:val="20"/>
                <w:szCs w:val="20"/>
                <w:lang w:val="ru-RU"/>
              </w:rPr>
            </w:pPr>
            <w:r>
              <w:rPr>
                <w:sz w:val="20"/>
                <w:szCs w:val="20"/>
                <w:lang w:val="ru-RU"/>
              </w:rPr>
              <w:t>Сумма дохода, с которого не удержан налог по ставке 13% с совокупной налоговой базы в пределах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3002" w:type="dxa"/>
            <w:gridSpan w:val="2"/>
            <w:vAlign w:val="center"/>
          </w:tcPr>
          <w:p>
            <w:pPr>
              <w:pStyle w:val="249"/>
              <w:rPr>
                <w:sz w:val="20"/>
                <w:szCs w:val="20"/>
                <w:lang w:val="ru-RU"/>
              </w:rPr>
            </w:pPr>
            <w:r>
              <w:rPr>
                <w:sz w:val="20"/>
                <w:szCs w:val="20"/>
                <w:lang w:val="ru-RU"/>
              </w:rPr>
              <w:t>Сумма не удержанного налога по ставке 13% с совокупной налоговой базы в пределах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3002" w:type="dxa"/>
            <w:gridSpan w:val="2"/>
            <w:vAlign w:val="center"/>
          </w:tcPr>
          <w:p>
            <w:pPr>
              <w:pStyle w:val="249"/>
              <w:ind w:right="40"/>
              <w:rPr>
                <w:sz w:val="20"/>
                <w:szCs w:val="20"/>
                <w:lang w:val="ru-RU"/>
              </w:rPr>
            </w:pPr>
            <w:r>
              <w:rPr>
                <w:sz w:val="20"/>
                <w:szCs w:val="20"/>
                <w:lang w:val="ru-RU"/>
              </w:rPr>
              <w:t>Сумма дохода, с которого не удержан налог по ставке 15% с части совокупной налоговой базы, превышающей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002" w:type="dxa"/>
            <w:gridSpan w:val="2"/>
            <w:vAlign w:val="center"/>
          </w:tcPr>
          <w:p>
            <w:pPr>
              <w:pStyle w:val="249"/>
              <w:ind w:right="6"/>
              <w:rPr>
                <w:sz w:val="20"/>
                <w:szCs w:val="20"/>
                <w:lang w:val="ru-RU"/>
              </w:rPr>
            </w:pPr>
            <w:r>
              <w:rPr>
                <w:sz w:val="20"/>
                <w:szCs w:val="20"/>
                <w:lang w:val="ru-RU"/>
              </w:rPr>
              <w:t>Сумма не удержанного налога по ставке 15% с части совокупной налоговой базы, превышающей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3002" w:type="dxa"/>
            <w:gridSpan w:val="2"/>
            <w:vAlign w:val="center"/>
          </w:tcPr>
          <w:p>
            <w:pPr>
              <w:pStyle w:val="249"/>
              <w:rPr>
                <w:sz w:val="20"/>
                <w:szCs w:val="20"/>
                <w:lang w:val="ru-RU"/>
              </w:rPr>
            </w:pPr>
            <w:r>
              <w:rPr>
                <w:sz w:val="20"/>
                <w:szCs w:val="20"/>
                <w:lang w:val="ru-RU"/>
              </w:rPr>
              <w:t>Сумма излишне удержанного налога по ставке 13% с совокупной налоговой базы в пределах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3002" w:type="dxa"/>
            <w:gridSpan w:val="2"/>
            <w:vAlign w:val="center"/>
          </w:tcPr>
          <w:p>
            <w:pPr>
              <w:pStyle w:val="249"/>
              <w:ind w:right="19"/>
              <w:rPr>
                <w:sz w:val="20"/>
                <w:szCs w:val="20"/>
                <w:lang w:val="ru-RU"/>
              </w:rPr>
            </w:pPr>
            <w:r>
              <w:rPr>
                <w:sz w:val="20"/>
                <w:szCs w:val="20"/>
                <w:lang w:val="ru-RU"/>
              </w:rPr>
              <w:t>Сумма излишне удержанного налога по ставке 15% с части совокупной налоговой базы, превышающей 2,4 млн руб.</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1868" w:type="dxa"/>
            <w:vMerge w:val="restart"/>
            <w:vAlign w:val="center"/>
          </w:tcPr>
          <w:p>
            <w:pPr>
              <w:pStyle w:val="249"/>
              <w:ind w:right="14"/>
              <w:rPr>
                <w:sz w:val="20"/>
                <w:szCs w:val="20"/>
                <w:lang w:val="ru-RU"/>
              </w:rPr>
            </w:pPr>
            <w:r>
              <w:rPr>
                <w:sz w:val="20"/>
                <w:szCs w:val="20"/>
                <w:lang w:val="ru-RU"/>
              </w:rPr>
              <w:t>Возвращенный налог по ставке 13% с совокупной налоговой базы в пределах 2,4 млн руб.</w:t>
            </w:r>
          </w:p>
        </w:tc>
        <w:tc>
          <w:tcPr>
            <w:tcW w:w="1134" w:type="dxa"/>
            <w:vAlign w:val="center"/>
          </w:tcPr>
          <w:p>
            <w:pPr>
              <w:pStyle w:val="249"/>
              <w:rPr>
                <w:sz w:val="20"/>
                <w:szCs w:val="20"/>
              </w:rPr>
            </w:pPr>
            <w:r>
              <w:rPr>
                <w:sz w:val="20"/>
                <w:szCs w:val="20"/>
              </w:rPr>
              <w:t>Сумма</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1868"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pStyle w:val="249"/>
              <w:ind w:left="0"/>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868" w:type="dxa"/>
            <w:vMerge w:val="restart"/>
            <w:vAlign w:val="center"/>
          </w:tcPr>
          <w:p>
            <w:pPr>
              <w:pStyle w:val="249"/>
              <w:ind w:right="14"/>
              <w:rPr>
                <w:sz w:val="20"/>
                <w:szCs w:val="20"/>
                <w:lang w:val="ru-RU"/>
              </w:rPr>
            </w:pPr>
            <w:r>
              <w:rPr>
                <w:sz w:val="20"/>
                <w:szCs w:val="20"/>
                <w:lang w:val="ru-RU"/>
              </w:rPr>
              <w:t>Возвращенный налог по ставке 15% с части совокупной налоговой базы, превышающей 2,4 млн руб.</w:t>
            </w:r>
          </w:p>
        </w:tc>
        <w:tc>
          <w:tcPr>
            <w:tcW w:w="1134" w:type="dxa"/>
            <w:vAlign w:val="center"/>
          </w:tcPr>
          <w:p>
            <w:pPr>
              <w:pStyle w:val="249"/>
              <w:rPr>
                <w:sz w:val="20"/>
                <w:szCs w:val="20"/>
              </w:rPr>
            </w:pPr>
            <w:r>
              <w:rPr>
                <w:sz w:val="20"/>
                <w:szCs w:val="20"/>
              </w:rPr>
              <w:t>Сумма</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868"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rPr>
                <w:sz w:val="20"/>
                <w:szCs w:val="20"/>
              </w:rPr>
            </w:pPr>
            <w:r>
              <w:rPr>
                <w:sz w:val="20"/>
                <w:szCs w:val="20"/>
              </w:rPr>
              <w:t>Дата</w:t>
            </w: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59"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960" w:type="dxa"/>
            <w:vAlign w:val="center"/>
          </w:tcPr>
          <w:p>
            <w:pPr>
              <w:pStyle w:val="249"/>
              <w:ind w:left="0"/>
              <w:jc w:val="center"/>
              <w:rPr>
                <w:sz w:val="20"/>
                <w:szCs w:val="20"/>
              </w:rPr>
            </w:pPr>
            <w:r>
              <w:rPr>
                <w:w w:val="99"/>
                <w:sz w:val="20"/>
                <w:szCs w:val="20"/>
              </w:rPr>
              <w:t>X</w:t>
            </w:r>
          </w:p>
        </w:tc>
      </w:tr>
    </w:tbl>
    <w:p>
      <w:pPr>
        <w:spacing w:after="0" w:line="240" w:lineRule="auto"/>
        <w:rPr>
          <w:rFonts w:ascii="Times New Roman" w:hAnsi="Times New Roman"/>
          <w:b/>
          <w:sz w:val="20"/>
          <w:szCs w:val="20"/>
        </w:rPr>
      </w:pPr>
    </w:p>
    <w:tbl>
      <w:tblPr>
        <w:tblStyle w:val="248"/>
        <w:tblW w:w="154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6"/>
        <w:gridCol w:w="1134"/>
        <w:gridCol w:w="504"/>
        <w:gridCol w:w="505"/>
        <w:gridCol w:w="504"/>
        <w:gridCol w:w="505"/>
        <w:gridCol w:w="505"/>
        <w:gridCol w:w="504"/>
        <w:gridCol w:w="505"/>
        <w:gridCol w:w="505"/>
        <w:gridCol w:w="504"/>
        <w:gridCol w:w="505"/>
        <w:gridCol w:w="505"/>
        <w:gridCol w:w="504"/>
        <w:gridCol w:w="505"/>
        <w:gridCol w:w="504"/>
        <w:gridCol w:w="505"/>
        <w:gridCol w:w="505"/>
        <w:gridCol w:w="504"/>
        <w:gridCol w:w="505"/>
        <w:gridCol w:w="505"/>
        <w:gridCol w:w="504"/>
        <w:gridCol w:w="505"/>
        <w:gridCol w:w="505"/>
        <w:gridCol w:w="504"/>
        <w:gridCol w:w="505"/>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8" w:hRule="exact"/>
        </w:trPr>
        <w:tc>
          <w:tcPr>
            <w:tcW w:w="2860" w:type="dxa"/>
            <w:gridSpan w:val="2"/>
          </w:tcPr>
          <w:p>
            <w:pPr>
              <w:pStyle w:val="249"/>
              <w:ind w:left="679" w:right="680"/>
              <w:jc w:val="center"/>
              <w:rPr>
                <w:sz w:val="20"/>
                <w:szCs w:val="20"/>
              </w:rPr>
            </w:pPr>
            <w:r>
              <w:rPr>
                <w:sz w:val="20"/>
                <w:szCs w:val="20"/>
              </w:rPr>
              <w:t>Показатель</w:t>
            </w:r>
          </w:p>
        </w:tc>
        <w:tc>
          <w:tcPr>
            <w:tcW w:w="50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января</w:t>
            </w:r>
          </w:p>
        </w:tc>
        <w:tc>
          <w:tcPr>
            <w:tcW w:w="505"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31</w:t>
            </w:r>
            <w:r>
              <w:rPr>
                <w:spacing w:val="-8"/>
                <w:sz w:val="20"/>
                <w:szCs w:val="20"/>
                <w:lang w:val="ru-RU"/>
              </w:rPr>
              <w:t xml:space="preserve"> </w:t>
            </w:r>
            <w:r>
              <w:rPr>
                <w:spacing w:val="-8"/>
                <w:sz w:val="20"/>
                <w:szCs w:val="20"/>
              </w:rPr>
              <w:t>января</w:t>
            </w:r>
          </w:p>
        </w:tc>
        <w:tc>
          <w:tcPr>
            <w:tcW w:w="50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февраля</w:t>
            </w:r>
          </w:p>
        </w:tc>
        <w:tc>
          <w:tcPr>
            <w:tcW w:w="505"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28 (29)</w:t>
            </w:r>
            <w:r>
              <w:rPr>
                <w:spacing w:val="-8"/>
                <w:sz w:val="20"/>
                <w:szCs w:val="20"/>
                <w:lang w:val="ru-RU"/>
              </w:rPr>
              <w:t xml:space="preserve"> </w:t>
            </w:r>
            <w:r>
              <w:rPr>
                <w:spacing w:val="-8"/>
                <w:sz w:val="20"/>
                <w:szCs w:val="20"/>
              </w:rPr>
              <w:t>февраля</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марта</w:t>
            </w:r>
          </w:p>
        </w:tc>
        <w:tc>
          <w:tcPr>
            <w:tcW w:w="50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марта</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апреля</w:t>
            </w:r>
          </w:p>
        </w:tc>
        <w:tc>
          <w:tcPr>
            <w:tcW w:w="505"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30</w:t>
            </w:r>
            <w:r>
              <w:rPr>
                <w:spacing w:val="-8"/>
                <w:sz w:val="20"/>
                <w:szCs w:val="20"/>
                <w:lang w:val="ru-RU"/>
              </w:rPr>
              <w:t xml:space="preserve"> </w:t>
            </w:r>
            <w:r>
              <w:rPr>
                <w:spacing w:val="-8"/>
                <w:sz w:val="20"/>
                <w:szCs w:val="20"/>
              </w:rPr>
              <w:t>апреля</w:t>
            </w:r>
          </w:p>
        </w:tc>
        <w:tc>
          <w:tcPr>
            <w:tcW w:w="50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 мая</w:t>
            </w:r>
          </w:p>
        </w:tc>
        <w:tc>
          <w:tcPr>
            <w:tcW w:w="505"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мая</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июня</w:t>
            </w:r>
          </w:p>
        </w:tc>
        <w:tc>
          <w:tcPr>
            <w:tcW w:w="504" w:type="dxa"/>
          </w:tcPr>
          <w:p>
            <w:pPr>
              <w:pStyle w:val="249"/>
              <w:ind w:left="0"/>
              <w:jc w:val="center"/>
              <w:rPr>
                <w:spacing w:val="-8"/>
                <w:sz w:val="20"/>
                <w:szCs w:val="20"/>
              </w:rPr>
            </w:pPr>
            <w:r>
              <w:rPr>
                <w:spacing w:val="-8"/>
                <w:sz w:val="20"/>
                <w:szCs w:val="20"/>
              </w:rPr>
              <w:t>С 23 по</w:t>
            </w:r>
            <w:r>
              <w:rPr>
                <w:spacing w:val="-8"/>
                <w:sz w:val="20"/>
                <w:szCs w:val="20"/>
                <w:lang w:val="ru-RU"/>
              </w:rPr>
              <w:t xml:space="preserve"> </w:t>
            </w:r>
            <w:r>
              <w:rPr>
                <w:spacing w:val="-8"/>
                <w:sz w:val="20"/>
                <w:szCs w:val="20"/>
              </w:rPr>
              <w:t>30</w:t>
            </w:r>
            <w:r>
              <w:rPr>
                <w:spacing w:val="-8"/>
                <w:sz w:val="20"/>
                <w:szCs w:val="20"/>
                <w:lang w:val="ru-RU"/>
              </w:rPr>
              <w:t xml:space="preserve"> </w:t>
            </w:r>
            <w:r>
              <w:rPr>
                <w:spacing w:val="-8"/>
                <w:sz w:val="20"/>
                <w:szCs w:val="20"/>
              </w:rPr>
              <w:t>июня</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июля</w:t>
            </w:r>
          </w:p>
        </w:tc>
        <w:tc>
          <w:tcPr>
            <w:tcW w:w="50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июля</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августа</w:t>
            </w:r>
          </w:p>
        </w:tc>
        <w:tc>
          <w:tcPr>
            <w:tcW w:w="505"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августа</w:t>
            </w:r>
          </w:p>
        </w:tc>
        <w:tc>
          <w:tcPr>
            <w:tcW w:w="50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сентября</w:t>
            </w:r>
          </w:p>
        </w:tc>
        <w:tc>
          <w:tcPr>
            <w:tcW w:w="505"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сентября</w:t>
            </w:r>
          </w:p>
        </w:tc>
        <w:tc>
          <w:tcPr>
            <w:tcW w:w="505"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w w:val="95"/>
                <w:sz w:val="20"/>
                <w:szCs w:val="20"/>
              </w:rPr>
              <w:t>октяб</w:t>
            </w:r>
            <w:r>
              <w:rPr>
                <w:spacing w:val="-8"/>
                <w:sz w:val="20"/>
                <w:szCs w:val="20"/>
              </w:rPr>
              <w:t>ря</w:t>
            </w:r>
          </w:p>
        </w:tc>
        <w:tc>
          <w:tcPr>
            <w:tcW w:w="504"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 xml:space="preserve">по 31 </w:t>
            </w:r>
            <w:r>
              <w:rPr>
                <w:spacing w:val="-8"/>
                <w:w w:val="95"/>
                <w:sz w:val="20"/>
                <w:szCs w:val="20"/>
              </w:rPr>
              <w:t>октяб</w:t>
            </w:r>
            <w:r>
              <w:rPr>
                <w:spacing w:val="-8"/>
                <w:sz w:val="20"/>
                <w:szCs w:val="20"/>
              </w:rPr>
              <w:t>ря</w:t>
            </w:r>
          </w:p>
        </w:tc>
        <w:tc>
          <w:tcPr>
            <w:tcW w:w="505" w:type="dxa"/>
          </w:tcPr>
          <w:p>
            <w:pPr>
              <w:pStyle w:val="249"/>
              <w:ind w:left="0"/>
              <w:jc w:val="center"/>
              <w:rPr>
                <w:spacing w:val="-8"/>
                <w:sz w:val="20"/>
                <w:szCs w:val="20"/>
              </w:rPr>
            </w:pPr>
            <w:r>
              <w:rPr>
                <w:spacing w:val="-8"/>
                <w:sz w:val="20"/>
                <w:szCs w:val="20"/>
              </w:rPr>
              <w:t>С 1</w:t>
            </w:r>
            <w:r>
              <w:rPr>
                <w:spacing w:val="-8"/>
                <w:sz w:val="20"/>
                <w:szCs w:val="20"/>
                <w:lang w:val="ru-RU"/>
              </w:rPr>
              <w:t xml:space="preserve"> </w:t>
            </w:r>
            <w:r>
              <w:rPr>
                <w:spacing w:val="-8"/>
                <w:sz w:val="20"/>
                <w:szCs w:val="20"/>
              </w:rPr>
              <w:t>по 22 ноября</w:t>
            </w:r>
          </w:p>
        </w:tc>
        <w:tc>
          <w:tcPr>
            <w:tcW w:w="505"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30 ноября</w:t>
            </w:r>
          </w:p>
        </w:tc>
        <w:tc>
          <w:tcPr>
            <w:tcW w:w="504" w:type="dxa"/>
          </w:tcPr>
          <w:p>
            <w:pPr>
              <w:pStyle w:val="249"/>
              <w:ind w:left="0"/>
              <w:jc w:val="center"/>
              <w:rPr>
                <w:spacing w:val="-8"/>
                <w:sz w:val="20"/>
                <w:szCs w:val="20"/>
              </w:rPr>
            </w:pPr>
            <w:r>
              <w:rPr>
                <w:spacing w:val="-8"/>
                <w:sz w:val="20"/>
                <w:szCs w:val="20"/>
              </w:rPr>
              <w:t>С 1 по</w:t>
            </w:r>
            <w:r>
              <w:rPr>
                <w:spacing w:val="-8"/>
                <w:sz w:val="20"/>
                <w:szCs w:val="20"/>
                <w:lang w:val="ru-RU"/>
              </w:rPr>
              <w:t xml:space="preserve"> </w:t>
            </w:r>
            <w:r>
              <w:rPr>
                <w:spacing w:val="-8"/>
                <w:sz w:val="20"/>
                <w:szCs w:val="20"/>
              </w:rPr>
              <w:t>22</w:t>
            </w:r>
            <w:r>
              <w:rPr>
                <w:spacing w:val="-8"/>
                <w:sz w:val="20"/>
                <w:szCs w:val="20"/>
                <w:lang w:val="ru-RU"/>
              </w:rPr>
              <w:t xml:space="preserve"> </w:t>
            </w:r>
            <w:r>
              <w:rPr>
                <w:spacing w:val="-8"/>
                <w:sz w:val="20"/>
                <w:szCs w:val="20"/>
              </w:rPr>
              <w:t>декабря</w:t>
            </w:r>
          </w:p>
        </w:tc>
        <w:tc>
          <w:tcPr>
            <w:tcW w:w="505" w:type="dxa"/>
          </w:tcPr>
          <w:p>
            <w:pPr>
              <w:pStyle w:val="249"/>
              <w:ind w:left="0"/>
              <w:jc w:val="center"/>
              <w:rPr>
                <w:spacing w:val="-8"/>
                <w:sz w:val="20"/>
                <w:szCs w:val="20"/>
              </w:rPr>
            </w:pPr>
            <w:r>
              <w:rPr>
                <w:spacing w:val="-8"/>
                <w:sz w:val="20"/>
                <w:szCs w:val="20"/>
              </w:rPr>
              <w:t>С 23</w:t>
            </w:r>
            <w:r>
              <w:rPr>
                <w:spacing w:val="-8"/>
                <w:sz w:val="20"/>
                <w:szCs w:val="20"/>
                <w:lang w:val="ru-RU"/>
              </w:rPr>
              <w:t xml:space="preserve"> </w:t>
            </w:r>
            <w:r>
              <w:rPr>
                <w:spacing w:val="-8"/>
                <w:sz w:val="20"/>
                <w:szCs w:val="20"/>
              </w:rPr>
              <w:t>по 31 декабря</w:t>
            </w:r>
          </w:p>
        </w:tc>
        <w:tc>
          <w:tcPr>
            <w:tcW w:w="505" w:type="dxa"/>
          </w:tcPr>
          <w:p>
            <w:pPr>
              <w:pStyle w:val="249"/>
              <w:ind w:left="8" w:right="6"/>
              <w:jc w:val="center"/>
              <w:rPr>
                <w:spacing w:val="-8"/>
                <w:sz w:val="20"/>
                <w:szCs w:val="20"/>
              </w:rPr>
            </w:pPr>
            <w:r>
              <w:rPr>
                <w:spacing w:val="-8"/>
                <w:sz w:val="20"/>
                <w:szCs w:val="20"/>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restart"/>
            <w:vAlign w:val="center"/>
          </w:tcPr>
          <w:p>
            <w:pPr>
              <w:pStyle w:val="249"/>
              <w:ind w:right="74"/>
              <w:rPr>
                <w:sz w:val="20"/>
                <w:szCs w:val="20"/>
                <w:lang w:val="ru-RU"/>
              </w:rPr>
            </w:pPr>
            <w:r>
              <w:rPr>
                <w:sz w:val="20"/>
                <w:szCs w:val="20"/>
                <w:lang w:val="ru-RU"/>
              </w:rPr>
              <w:t>Налог удержанный по ставке 13% с совокупной налоговой базы в пределах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restart"/>
            <w:vAlign w:val="center"/>
          </w:tcPr>
          <w:p>
            <w:pPr>
              <w:pStyle w:val="249"/>
              <w:ind w:right="74"/>
              <w:rPr>
                <w:sz w:val="20"/>
                <w:szCs w:val="20"/>
                <w:lang w:val="ru-RU"/>
              </w:rPr>
            </w:pPr>
            <w:r>
              <w:rPr>
                <w:sz w:val="20"/>
                <w:szCs w:val="20"/>
                <w:lang w:val="ru-RU"/>
              </w:rPr>
              <w:t>Налог удержанный по ставке 15% с части совокупной налоговой базы, превышающей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8"/>
              <w:rPr>
                <w:sz w:val="20"/>
                <w:szCs w:val="20"/>
              </w:rPr>
            </w:pPr>
            <w:r>
              <w:rPr>
                <w:sz w:val="20"/>
                <w:szCs w:val="20"/>
              </w:rPr>
              <w:t>Дата удержания</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726" w:type="dxa"/>
            <w:vMerge w:val="restart"/>
            <w:vAlign w:val="center"/>
          </w:tcPr>
          <w:p>
            <w:pPr>
              <w:pStyle w:val="249"/>
              <w:ind w:right="74"/>
              <w:rPr>
                <w:sz w:val="20"/>
                <w:szCs w:val="20"/>
                <w:lang w:val="ru-RU"/>
              </w:rPr>
            </w:pPr>
            <w:r>
              <w:rPr>
                <w:sz w:val="20"/>
                <w:szCs w:val="20"/>
                <w:lang w:val="ru-RU"/>
              </w:rPr>
              <w:t>Возвращенный налог по ставке 13% с совокупной налоговой базы в пределах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726"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32"/>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2"/>
              <w:jc w:val="center"/>
              <w:rPr>
                <w:sz w:val="20"/>
                <w:szCs w:val="20"/>
              </w:rPr>
            </w:pPr>
            <w:r>
              <w:rPr>
                <w:w w:val="99"/>
                <w:sz w:val="20"/>
                <w:szCs w:val="20"/>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restart"/>
            <w:vAlign w:val="center"/>
          </w:tcPr>
          <w:p>
            <w:pPr>
              <w:pStyle w:val="249"/>
              <w:ind w:right="74"/>
              <w:rPr>
                <w:sz w:val="20"/>
                <w:szCs w:val="20"/>
                <w:lang w:val="ru-RU"/>
              </w:rPr>
            </w:pPr>
            <w:r>
              <w:rPr>
                <w:sz w:val="20"/>
                <w:szCs w:val="20"/>
                <w:lang w:val="ru-RU"/>
              </w:rPr>
              <w:t>Возвращенный налог по ставке 15% с части совокупной налоговой базы, превышающей 2,4 млн руб.</w:t>
            </w:r>
          </w:p>
        </w:tc>
        <w:tc>
          <w:tcPr>
            <w:tcW w:w="1134" w:type="dxa"/>
            <w:vAlign w:val="center"/>
          </w:tcPr>
          <w:p>
            <w:pPr>
              <w:pStyle w:val="249"/>
              <w:rPr>
                <w:sz w:val="20"/>
                <w:szCs w:val="20"/>
              </w:rPr>
            </w:pPr>
            <w:r>
              <w:rPr>
                <w:sz w:val="20"/>
                <w:szCs w:val="20"/>
              </w:rPr>
              <w:t>Сумма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726" w:type="dxa"/>
            <w:vMerge w:val="continue"/>
            <w:vAlign w:val="center"/>
          </w:tcPr>
          <w:p>
            <w:pPr>
              <w:widowControl w:val="0"/>
              <w:autoSpaceDE w:val="0"/>
              <w:autoSpaceDN w:val="0"/>
              <w:spacing w:after="0" w:line="240" w:lineRule="auto"/>
              <w:rPr>
                <w:rFonts w:ascii="Times New Roman" w:hAnsi="Times New Roman"/>
                <w:sz w:val="20"/>
                <w:szCs w:val="20"/>
                <w:lang w:val="en-US"/>
              </w:rPr>
            </w:pPr>
          </w:p>
        </w:tc>
        <w:tc>
          <w:tcPr>
            <w:tcW w:w="1134" w:type="dxa"/>
            <w:vAlign w:val="center"/>
          </w:tcPr>
          <w:p>
            <w:pPr>
              <w:pStyle w:val="249"/>
              <w:ind w:right="132"/>
              <w:rPr>
                <w:sz w:val="20"/>
                <w:szCs w:val="20"/>
              </w:rPr>
            </w:pPr>
            <w:r>
              <w:rPr>
                <w:sz w:val="20"/>
                <w:szCs w:val="20"/>
              </w:rPr>
              <w:t>Дата возврата</w:t>
            </w: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4"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widowControl w:val="0"/>
              <w:autoSpaceDE w:val="0"/>
              <w:autoSpaceDN w:val="0"/>
              <w:spacing w:after="0" w:line="240" w:lineRule="auto"/>
              <w:jc w:val="center"/>
              <w:rPr>
                <w:rFonts w:ascii="Times New Roman" w:hAnsi="Times New Roman"/>
                <w:sz w:val="20"/>
                <w:szCs w:val="20"/>
                <w:lang w:val="en-US"/>
              </w:rPr>
            </w:pPr>
          </w:p>
        </w:tc>
        <w:tc>
          <w:tcPr>
            <w:tcW w:w="505" w:type="dxa"/>
            <w:vAlign w:val="center"/>
          </w:tcPr>
          <w:p>
            <w:pPr>
              <w:pStyle w:val="249"/>
              <w:ind w:left="2"/>
              <w:jc w:val="center"/>
              <w:rPr>
                <w:sz w:val="20"/>
                <w:szCs w:val="20"/>
              </w:rPr>
            </w:pPr>
            <w:r>
              <w:rPr>
                <w:w w:val="99"/>
                <w:sz w:val="20"/>
                <w:szCs w:val="20"/>
              </w:rPr>
              <w:t>X</w:t>
            </w:r>
          </w:p>
        </w:tc>
      </w:tr>
    </w:tbl>
    <w:p>
      <w:pPr>
        <w:spacing w:after="0" w:line="240" w:lineRule="auto"/>
        <w:rPr>
          <w:rFonts w:ascii="Times New Roman" w:hAnsi="Times New Roman"/>
          <w:b/>
          <w:sz w:val="20"/>
          <w:szCs w:val="20"/>
        </w:rPr>
      </w:pPr>
    </w:p>
    <w:p>
      <w:pPr>
        <w:spacing w:after="0" w:line="240" w:lineRule="auto"/>
        <w:rPr>
          <w:rFonts w:ascii="Times New Roman" w:hAnsi="Times New Roman"/>
          <w:sz w:val="24"/>
          <w:szCs w:val="24"/>
        </w:rPr>
      </w:pPr>
      <w:r>
        <w:rPr>
          <w:rFonts w:ascii="Times New Roman" w:hAnsi="Times New Roman"/>
          <w:w w:val="105"/>
          <w:sz w:val="24"/>
          <w:szCs w:val="24"/>
        </w:rPr>
        <w:t>Правильность заполнения налогового регистра проверена:</w:t>
      </w:r>
    </w:p>
    <w:p>
      <w:pPr>
        <w:widowControl w:val="0"/>
        <w:autoSpaceDE w:val="0"/>
        <w:autoSpaceDN w:val="0"/>
        <w:adjustRightInd w:val="0"/>
        <w:spacing w:after="0" w:line="240" w:lineRule="auto"/>
        <w:rPr>
          <w:rFonts w:ascii="Times New Roman" w:hAnsi="Times New Roman"/>
          <w:sz w:val="24"/>
          <w:szCs w:val="24"/>
          <w:lang w:eastAsia="ru-RU"/>
        </w:rPr>
      </w:pPr>
    </w:p>
    <w:tbl>
      <w:tblPr>
        <w:tblStyle w:val="29"/>
        <w:tblW w:w="8188" w:type="dxa"/>
        <w:tblInd w:w="0" w:type="dxa"/>
        <w:tblLayout w:type="fixed"/>
        <w:tblCellMar>
          <w:top w:w="0" w:type="dxa"/>
          <w:left w:w="108" w:type="dxa"/>
          <w:bottom w:w="0" w:type="dxa"/>
          <w:right w:w="108" w:type="dxa"/>
        </w:tblCellMar>
      </w:tblPr>
      <w:tblGrid>
        <w:gridCol w:w="1384"/>
        <w:gridCol w:w="284"/>
        <w:gridCol w:w="2268"/>
        <w:gridCol w:w="283"/>
        <w:gridCol w:w="2126"/>
        <w:gridCol w:w="284"/>
        <w:gridCol w:w="1559"/>
      </w:tblGrid>
      <w:tr>
        <w:tblPrEx>
          <w:tblLayout w:type="fixed"/>
          <w:tblCellMar>
            <w:top w:w="0" w:type="dxa"/>
            <w:left w:w="108" w:type="dxa"/>
            <w:bottom w:w="0" w:type="dxa"/>
            <w:right w:w="108" w:type="dxa"/>
          </w:tblCellMar>
        </w:tblPrEx>
        <w:tc>
          <w:tcPr>
            <w:tcW w:w="1384" w:type="dxa"/>
            <w:tcBorders>
              <w:top w:val="nil"/>
              <w:left w:val="nil"/>
              <w:bottom w:val="single" w:color="auto" w:sz="4" w:space="0"/>
              <w:right w:val="nil"/>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284" w:type="dxa"/>
          </w:tcPr>
          <w:p>
            <w:pPr>
              <w:widowControl w:val="0"/>
              <w:autoSpaceDE w:val="0"/>
              <w:autoSpaceDN w:val="0"/>
              <w:adjustRightInd w:val="0"/>
              <w:spacing w:after="0" w:line="240" w:lineRule="auto"/>
              <w:rPr>
                <w:rFonts w:ascii="Times New Roman" w:hAnsi="Times New Roman"/>
                <w:sz w:val="24"/>
                <w:szCs w:val="24"/>
                <w:lang w:eastAsia="ru-RU"/>
              </w:rPr>
            </w:pPr>
          </w:p>
        </w:tc>
        <w:tc>
          <w:tcPr>
            <w:tcW w:w="2268" w:type="dxa"/>
            <w:tcBorders>
              <w:top w:val="nil"/>
              <w:left w:val="nil"/>
              <w:bottom w:val="single" w:color="auto" w:sz="4" w:space="0"/>
              <w:right w:val="nil"/>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283" w:type="dxa"/>
          </w:tcPr>
          <w:p>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bottom w:val="single" w:color="auto" w:sz="4" w:space="0"/>
              <w:right w:val="nil"/>
            </w:tcBorders>
          </w:tcPr>
          <w:p>
            <w:pPr>
              <w:widowControl w:val="0"/>
              <w:autoSpaceDE w:val="0"/>
              <w:autoSpaceDN w:val="0"/>
              <w:adjustRightInd w:val="0"/>
              <w:spacing w:after="0" w:line="240" w:lineRule="auto"/>
              <w:rPr>
                <w:rFonts w:ascii="Times New Roman" w:hAnsi="Times New Roman"/>
                <w:sz w:val="24"/>
                <w:szCs w:val="24"/>
                <w:lang w:eastAsia="ru-RU"/>
              </w:rPr>
            </w:pPr>
          </w:p>
        </w:tc>
        <w:tc>
          <w:tcPr>
            <w:tcW w:w="284" w:type="dxa"/>
          </w:tcPr>
          <w:p>
            <w:pPr>
              <w:widowControl w:val="0"/>
              <w:autoSpaceDE w:val="0"/>
              <w:autoSpaceDN w:val="0"/>
              <w:adjustRightInd w:val="0"/>
              <w:spacing w:after="0" w:line="240" w:lineRule="auto"/>
              <w:rPr>
                <w:rFonts w:ascii="Times New Roman" w:hAnsi="Times New Roman"/>
                <w:sz w:val="24"/>
                <w:szCs w:val="24"/>
                <w:lang w:eastAsia="ru-RU"/>
              </w:rPr>
            </w:pPr>
          </w:p>
        </w:tc>
        <w:tc>
          <w:tcPr>
            <w:tcW w:w="1559" w:type="dxa"/>
            <w:tcBorders>
              <w:top w:val="nil"/>
              <w:left w:val="nil"/>
              <w:bottom w:val="single" w:color="auto" w:sz="4" w:space="0"/>
              <w:right w:val="nil"/>
            </w:tcBorders>
          </w:tcPr>
          <w:p>
            <w:pPr>
              <w:widowControl w:val="0"/>
              <w:autoSpaceDE w:val="0"/>
              <w:autoSpaceDN w:val="0"/>
              <w:adjustRightInd w:val="0"/>
              <w:spacing w:after="0" w:line="240" w:lineRule="auto"/>
              <w:rPr>
                <w:rFonts w:ascii="Times New Roman" w:hAnsi="Times New Roman"/>
                <w:sz w:val="24"/>
                <w:szCs w:val="24"/>
                <w:lang w:eastAsia="ru-RU"/>
              </w:rPr>
            </w:pPr>
          </w:p>
        </w:tc>
      </w:tr>
      <w:tr>
        <w:tblPrEx>
          <w:tblLayout w:type="fixed"/>
          <w:tblCellMar>
            <w:top w:w="0" w:type="dxa"/>
            <w:left w:w="108" w:type="dxa"/>
            <w:bottom w:w="0" w:type="dxa"/>
            <w:right w:w="108" w:type="dxa"/>
          </w:tblCellMar>
        </w:tblPrEx>
        <w:tc>
          <w:tcPr>
            <w:tcW w:w="1384" w:type="dxa"/>
            <w:tcBorders>
              <w:top w:val="single" w:color="auto" w:sz="4" w:space="0"/>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w:t>
            </w:r>
          </w:p>
        </w:tc>
        <w:tc>
          <w:tcPr>
            <w:tcW w:w="284" w:type="dxa"/>
          </w:tcPr>
          <w:p>
            <w:pPr>
              <w:widowControl w:val="0"/>
              <w:autoSpaceDE w:val="0"/>
              <w:autoSpaceDN w:val="0"/>
              <w:adjustRightInd w:val="0"/>
              <w:spacing w:after="0" w:line="240" w:lineRule="auto"/>
              <w:jc w:val="center"/>
              <w:rPr>
                <w:rFonts w:ascii="Times New Roman" w:hAnsi="Times New Roman"/>
                <w:sz w:val="24"/>
                <w:szCs w:val="24"/>
                <w:lang w:eastAsia="ru-RU"/>
              </w:rPr>
            </w:pPr>
          </w:p>
        </w:tc>
        <w:tc>
          <w:tcPr>
            <w:tcW w:w="2268" w:type="dxa"/>
            <w:tcBorders>
              <w:top w:val="single" w:color="auto" w:sz="4" w:space="0"/>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(должность)</w:t>
            </w:r>
          </w:p>
        </w:tc>
        <w:tc>
          <w:tcPr>
            <w:tcW w:w="283" w:type="dxa"/>
          </w:tcPr>
          <w:p>
            <w:pPr>
              <w:widowControl w:val="0"/>
              <w:autoSpaceDE w:val="0"/>
              <w:autoSpaceDN w:val="0"/>
              <w:adjustRightInd w:val="0"/>
              <w:spacing w:after="0" w:line="240" w:lineRule="auto"/>
              <w:jc w:val="center"/>
              <w:rPr>
                <w:rFonts w:ascii="Times New Roman" w:hAnsi="Times New Roman"/>
                <w:sz w:val="24"/>
                <w:szCs w:val="24"/>
                <w:lang w:eastAsia="ru-RU"/>
              </w:rPr>
            </w:pPr>
          </w:p>
        </w:tc>
        <w:tc>
          <w:tcPr>
            <w:tcW w:w="2126" w:type="dxa"/>
            <w:tcBorders>
              <w:top w:val="single" w:color="auto" w:sz="4" w:space="0"/>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(Ф.И.О.)</w:t>
            </w:r>
          </w:p>
        </w:tc>
        <w:tc>
          <w:tcPr>
            <w:tcW w:w="284" w:type="dxa"/>
          </w:tcPr>
          <w:p>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tcBorders>
              <w:top w:val="single" w:color="auto" w:sz="4" w:space="0"/>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w:t>
            </w:r>
          </w:p>
        </w:tc>
      </w:tr>
    </w:tbl>
    <w:p>
      <w:pPr>
        <w:pStyle w:val="44"/>
        <w:jc w:val="center"/>
        <w:rPr>
          <w:rFonts w:ascii="Times New Roman" w:hAnsi="Times New Roman" w:cs="Times New Roman"/>
          <w:b/>
          <w:bCs/>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7. Регистр (карточка)</w:t>
      </w:r>
    </w:p>
    <w:p>
      <w:pPr>
        <w:pStyle w:val="44"/>
        <w:jc w:val="center"/>
        <w:rPr>
          <w:rFonts w:ascii="Times New Roman" w:hAnsi="Times New Roman" w:cs="Times New Roman"/>
          <w:sz w:val="24"/>
          <w:szCs w:val="24"/>
        </w:rPr>
      </w:pPr>
      <w:r>
        <w:rPr>
          <w:rFonts w:ascii="Times New Roman" w:hAnsi="Times New Roman" w:cs="Times New Roman"/>
          <w:b/>
          <w:bCs/>
          <w:sz w:val="24"/>
          <w:szCs w:val="24"/>
        </w:rPr>
        <w:t>индивидуального учета сумм начисленных выплат</w:t>
      </w:r>
    </w:p>
    <w:p>
      <w:pPr>
        <w:pStyle w:val="44"/>
        <w:jc w:val="center"/>
        <w:rPr>
          <w:rFonts w:ascii="Times New Roman" w:hAnsi="Times New Roman" w:cs="Times New Roman"/>
          <w:sz w:val="24"/>
          <w:szCs w:val="24"/>
        </w:rPr>
      </w:pPr>
      <w:r>
        <w:rPr>
          <w:rFonts w:ascii="Times New Roman" w:hAnsi="Times New Roman" w:cs="Times New Roman"/>
          <w:b/>
          <w:bCs/>
          <w:sz w:val="24"/>
          <w:szCs w:val="24"/>
        </w:rPr>
        <w:t>и иных вознаграждений, а также относящихся к ним сумм</w:t>
      </w:r>
    </w:p>
    <w:p>
      <w:pPr>
        <w:pStyle w:val="44"/>
        <w:jc w:val="center"/>
        <w:rPr>
          <w:rFonts w:ascii="Times New Roman" w:hAnsi="Times New Roman" w:cs="Times New Roman"/>
          <w:sz w:val="24"/>
          <w:szCs w:val="24"/>
        </w:rPr>
      </w:pPr>
      <w:r>
        <w:rPr>
          <w:rFonts w:ascii="Times New Roman" w:hAnsi="Times New Roman" w:cs="Times New Roman"/>
          <w:b/>
          <w:bCs/>
          <w:sz w:val="24"/>
          <w:szCs w:val="24"/>
        </w:rPr>
        <w:t>страховых взносов на обязательное пенсионное страхование,</w:t>
      </w:r>
    </w:p>
    <w:p>
      <w:pPr>
        <w:pStyle w:val="44"/>
        <w:jc w:val="center"/>
        <w:rPr>
          <w:rFonts w:ascii="Times New Roman" w:hAnsi="Times New Roman" w:cs="Times New Roman"/>
          <w:sz w:val="24"/>
          <w:szCs w:val="24"/>
        </w:rPr>
      </w:pPr>
      <w:r>
        <w:rPr>
          <w:rFonts w:ascii="Times New Roman" w:hAnsi="Times New Roman" w:cs="Times New Roman"/>
          <w:b/>
          <w:bCs/>
          <w:sz w:val="24"/>
          <w:szCs w:val="24"/>
        </w:rPr>
        <w:t>на обязательное социальное страхование на случай временной</w:t>
      </w:r>
    </w:p>
    <w:p>
      <w:pPr>
        <w:pStyle w:val="44"/>
        <w:jc w:val="center"/>
        <w:rPr>
          <w:rFonts w:ascii="Times New Roman" w:hAnsi="Times New Roman" w:cs="Times New Roman"/>
          <w:sz w:val="24"/>
          <w:szCs w:val="24"/>
        </w:rPr>
      </w:pPr>
      <w:r>
        <w:rPr>
          <w:rFonts w:ascii="Times New Roman" w:hAnsi="Times New Roman" w:cs="Times New Roman"/>
          <w:b/>
          <w:bCs/>
          <w:sz w:val="24"/>
          <w:szCs w:val="24"/>
        </w:rPr>
        <w:t>нетрудоспособности и в связи с материнством, на обязательное</w:t>
      </w:r>
    </w:p>
    <w:p>
      <w:pPr>
        <w:pStyle w:val="44"/>
        <w:jc w:val="center"/>
        <w:rPr>
          <w:rFonts w:ascii="Times New Roman" w:hAnsi="Times New Roman" w:cs="Times New Roman"/>
          <w:sz w:val="24"/>
          <w:szCs w:val="24"/>
        </w:rPr>
      </w:pPr>
      <w:r>
        <w:rPr>
          <w:rFonts w:ascii="Times New Roman" w:hAnsi="Times New Roman" w:cs="Times New Roman"/>
          <w:b/>
          <w:bCs/>
          <w:sz w:val="24"/>
          <w:szCs w:val="24"/>
        </w:rPr>
        <w:t>медицинское страхование за ______ г.</w:t>
      </w:r>
    </w:p>
    <w:p>
      <w:pPr>
        <w:pStyle w:val="44"/>
        <w:rPr>
          <w:rFonts w:ascii="Times New Roman" w:hAnsi="Times New Roman" w:cs="Times New Roman"/>
          <w:sz w:val="24"/>
          <w:szCs w:val="24"/>
        </w:rPr>
      </w:pPr>
    </w:p>
    <w:tbl>
      <w:tblPr>
        <w:tblStyle w:val="29"/>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37"/>
        <w:gridCol w:w="1191"/>
        <w:gridCol w:w="721"/>
        <w:gridCol w:w="1756"/>
        <w:gridCol w:w="340"/>
        <w:gridCol w:w="1814"/>
        <w:gridCol w:w="984"/>
        <w:gridCol w:w="397"/>
        <w:gridCol w:w="282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8090" w:type="dxa"/>
            <w:gridSpan w:val="7"/>
            <w:tcBorders>
              <w:top w:val="nil"/>
              <w:left w:val="nil"/>
              <w:bottom w:val="nil"/>
              <w:right w:val="nil"/>
            </w:tcBorders>
          </w:tcPr>
          <w:p>
            <w:pPr>
              <w:pStyle w:val="45"/>
              <w:autoSpaceDE/>
              <w:jc w:val="center"/>
            </w:pPr>
            <w:r>
              <w:rPr>
                <w:b/>
                <w:bCs/>
              </w:rPr>
              <w:t>КАРТОЧКА</w:t>
            </w:r>
          </w:p>
        </w:tc>
        <w:tc>
          <w:tcPr>
            <w:tcW w:w="4776" w:type="dxa"/>
            <w:gridSpan w:val="4"/>
            <w:tcBorders>
              <w:top w:val="nil"/>
              <w:left w:val="nil"/>
              <w:bottom w:val="nil"/>
              <w:right w:val="nil"/>
            </w:tcBorders>
          </w:tcPr>
          <w:p>
            <w:pPr>
              <w:pStyle w:val="45"/>
              <w:autoSpaceDE/>
              <w:jc w:val="right"/>
            </w:pPr>
            <w:r>
              <w:rPr>
                <w:b/>
                <w:bCs/>
              </w:rPr>
              <w:t>Стр. 1</w:t>
            </w:r>
            <w:r>
              <w:t xml:space="preserve"> </w:t>
            </w:r>
            <w:r>
              <w:rPr>
                <w:b/>
                <w:bCs/>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0" w:type="dxa"/>
            <w:gridSpan w:val="7"/>
            <w:tcBorders>
              <w:top w:val="nil"/>
              <w:left w:val="nil"/>
              <w:bottom w:val="nil"/>
              <w:right w:val="nil"/>
            </w:tcBorders>
          </w:tcPr>
          <w:p>
            <w:pPr>
              <w:pStyle w:val="45"/>
              <w:autoSpaceDE/>
              <w:jc w:val="center"/>
            </w:pPr>
            <w:r>
              <w:rPr>
                <w:b/>
                <w:bCs/>
              </w:rPr>
              <w:t>учета сумм начисленных выплат и иных вознаграждений</w:t>
            </w:r>
          </w:p>
          <w:p>
            <w:pPr>
              <w:pStyle w:val="45"/>
              <w:autoSpaceDE/>
              <w:jc w:val="center"/>
            </w:pPr>
            <w:r>
              <w:rPr>
                <w:b/>
                <w:bCs/>
              </w:rPr>
              <w:t>и сумм начисленных страховых взносов за ______ год</w:t>
            </w:r>
          </w:p>
        </w:tc>
        <w:tc>
          <w:tcPr>
            <w:tcW w:w="1381" w:type="dxa"/>
            <w:gridSpan w:val="2"/>
            <w:tcBorders>
              <w:top w:val="nil"/>
              <w:left w:val="nil"/>
              <w:bottom w:val="nil"/>
              <w:right w:val="nil"/>
            </w:tcBorders>
          </w:tcPr>
          <w:p>
            <w:pPr>
              <w:pStyle w:val="45"/>
              <w:autoSpaceDE/>
              <w:jc w:val="left"/>
            </w:pPr>
          </w:p>
        </w:tc>
        <w:tc>
          <w:tcPr>
            <w:tcW w:w="3395" w:type="dxa"/>
            <w:gridSpan w:val="2"/>
            <w:vMerge w:val="restart"/>
            <w:tcBorders>
              <w:top w:val="nil"/>
              <w:left w:val="nil"/>
              <w:bottom w:val="nil"/>
              <w:right w:val="nil"/>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1" w:type="dxa"/>
            <w:gridSpan w:val="9"/>
            <w:tcBorders>
              <w:top w:val="nil"/>
              <w:left w:val="nil"/>
              <w:bottom w:val="nil"/>
              <w:right w:val="nil"/>
            </w:tcBorders>
          </w:tcPr>
          <w:p>
            <w:pPr>
              <w:pStyle w:val="45"/>
              <w:autoSpaceDE/>
              <w:jc w:val="left"/>
            </w:pPr>
          </w:p>
        </w:tc>
        <w:tc>
          <w:tcPr>
            <w:tcW w:w="3395" w:type="dxa"/>
            <w:gridSpan w:val="2"/>
            <w:vMerge w:val="continue"/>
            <w:tcBorders>
              <w:top w:val="nil"/>
              <w:left w:val="nil"/>
              <w:bottom w:val="nil"/>
              <w:right w:val="nil"/>
            </w:tcBorders>
          </w:tcPr>
          <w:p>
            <w:pPr>
              <w:pStyle w:val="44"/>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Borders>
              <w:top w:val="nil"/>
              <w:left w:val="nil"/>
              <w:bottom w:val="nil"/>
              <w:right w:val="nil"/>
            </w:tcBorders>
            <w:vAlign w:val="bottom"/>
          </w:tcPr>
          <w:p>
            <w:pPr>
              <w:pStyle w:val="45"/>
              <w:autoSpaceDE/>
              <w:jc w:val="left"/>
            </w:pPr>
            <w:r>
              <w:t>Плательщик</w:t>
            </w:r>
          </w:p>
        </w:tc>
        <w:tc>
          <w:tcPr>
            <w:tcW w:w="4745" w:type="dxa"/>
            <w:gridSpan w:val="5"/>
            <w:tcBorders>
              <w:top w:val="nil"/>
              <w:left w:val="nil"/>
              <w:bottom w:val="nil"/>
              <w:right w:val="nil"/>
            </w:tcBorders>
            <w:vAlign w:val="bottom"/>
          </w:tcPr>
          <w:p>
            <w:pPr>
              <w:pStyle w:val="45"/>
              <w:autoSpaceDE/>
              <w:jc w:val="left"/>
            </w:pPr>
          </w:p>
        </w:tc>
        <w:tc>
          <w:tcPr>
            <w:tcW w:w="1814" w:type="dxa"/>
            <w:tcBorders>
              <w:top w:val="nil"/>
              <w:left w:val="nil"/>
              <w:bottom w:val="nil"/>
              <w:right w:val="nil"/>
            </w:tcBorders>
            <w:vAlign w:val="bottom"/>
          </w:tcPr>
          <w:p>
            <w:pPr>
              <w:pStyle w:val="45"/>
              <w:autoSpaceDE/>
              <w:jc w:val="left"/>
            </w:pPr>
            <w:r>
              <w:t>ИНН/КПП</w:t>
            </w:r>
          </w:p>
        </w:tc>
        <w:tc>
          <w:tcPr>
            <w:tcW w:w="1381" w:type="dxa"/>
            <w:gridSpan w:val="2"/>
            <w:tcBorders>
              <w:top w:val="nil"/>
              <w:left w:val="nil"/>
              <w:bottom w:val="nil"/>
              <w:right w:val="nil"/>
            </w:tcBorders>
          </w:tcPr>
          <w:p>
            <w:pPr>
              <w:pStyle w:val="45"/>
              <w:autoSpaceDE/>
              <w:jc w:val="left"/>
            </w:pPr>
          </w:p>
        </w:tc>
        <w:tc>
          <w:tcPr>
            <w:tcW w:w="2828" w:type="dxa"/>
            <w:tcBorders>
              <w:top w:val="nil"/>
              <w:left w:val="nil"/>
              <w:bottom w:val="single" w:color="auto" w:sz="6" w:space="0"/>
              <w:right w:val="nil"/>
            </w:tcBorders>
          </w:tcPr>
          <w:p>
            <w:pPr>
              <w:pStyle w:val="45"/>
              <w:autoSpaceDE/>
              <w:jc w:val="left"/>
            </w:pPr>
          </w:p>
        </w:tc>
        <w:tc>
          <w:tcPr>
            <w:tcW w:w="567" w:type="dxa"/>
            <w:tcBorders>
              <w:top w:val="nil"/>
              <w:left w:val="nil"/>
              <w:bottom w:val="single" w:color="auto" w:sz="6" w:space="0"/>
              <w:right w:val="nil"/>
            </w:tcBorders>
            <w:vAlign w:val="bottom"/>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Borders>
              <w:top w:val="nil"/>
              <w:left w:val="nil"/>
              <w:bottom w:val="nil"/>
              <w:right w:val="nil"/>
            </w:tcBorders>
            <w:vAlign w:val="bottom"/>
          </w:tcPr>
          <w:p>
            <w:pPr>
              <w:pStyle w:val="45"/>
              <w:autoSpaceDE/>
              <w:jc w:val="left"/>
            </w:pPr>
            <w:r>
              <w:t>Фамилия</w:t>
            </w:r>
          </w:p>
        </w:tc>
        <w:tc>
          <w:tcPr>
            <w:tcW w:w="1928" w:type="dxa"/>
            <w:gridSpan w:val="2"/>
            <w:tcBorders>
              <w:top w:val="nil"/>
              <w:left w:val="nil"/>
              <w:bottom w:val="nil"/>
              <w:right w:val="nil"/>
            </w:tcBorders>
          </w:tcPr>
          <w:p>
            <w:pPr>
              <w:pStyle w:val="45"/>
              <w:autoSpaceDE/>
              <w:jc w:val="left"/>
            </w:pPr>
          </w:p>
        </w:tc>
        <w:tc>
          <w:tcPr>
            <w:tcW w:w="721" w:type="dxa"/>
            <w:tcBorders>
              <w:top w:val="nil"/>
              <w:left w:val="nil"/>
              <w:bottom w:val="nil"/>
              <w:right w:val="nil"/>
            </w:tcBorders>
            <w:vAlign w:val="bottom"/>
          </w:tcPr>
          <w:p>
            <w:pPr>
              <w:pStyle w:val="45"/>
              <w:autoSpaceDE/>
              <w:jc w:val="center"/>
            </w:pPr>
            <w:r>
              <w:t>Имя</w:t>
            </w:r>
          </w:p>
        </w:tc>
        <w:tc>
          <w:tcPr>
            <w:tcW w:w="1756" w:type="dxa"/>
            <w:tcBorders>
              <w:top w:val="nil"/>
              <w:left w:val="nil"/>
              <w:bottom w:val="nil"/>
              <w:right w:val="nil"/>
            </w:tcBorders>
            <w:vAlign w:val="bottom"/>
          </w:tcPr>
          <w:p>
            <w:pPr>
              <w:pStyle w:val="45"/>
              <w:autoSpaceDE/>
              <w:jc w:val="left"/>
            </w:pPr>
          </w:p>
        </w:tc>
        <w:tc>
          <w:tcPr>
            <w:tcW w:w="340" w:type="dxa"/>
            <w:tcBorders>
              <w:top w:val="nil"/>
              <w:left w:val="nil"/>
              <w:bottom w:val="nil"/>
              <w:right w:val="nil"/>
            </w:tcBorders>
            <w:vAlign w:val="bottom"/>
          </w:tcPr>
          <w:p>
            <w:pPr>
              <w:pStyle w:val="45"/>
              <w:autoSpaceDE/>
              <w:jc w:val="left"/>
            </w:pPr>
          </w:p>
        </w:tc>
        <w:tc>
          <w:tcPr>
            <w:tcW w:w="1814" w:type="dxa"/>
            <w:tcBorders>
              <w:top w:val="nil"/>
              <w:left w:val="nil"/>
              <w:bottom w:val="nil"/>
              <w:right w:val="nil"/>
            </w:tcBorders>
            <w:vAlign w:val="bottom"/>
          </w:tcPr>
          <w:p>
            <w:pPr>
              <w:pStyle w:val="45"/>
              <w:autoSpaceDE/>
              <w:jc w:val="left"/>
            </w:pPr>
            <w:r>
              <w:t>Отчество</w:t>
            </w:r>
          </w:p>
        </w:tc>
        <w:tc>
          <w:tcPr>
            <w:tcW w:w="1381" w:type="dxa"/>
            <w:gridSpan w:val="2"/>
            <w:tcBorders>
              <w:top w:val="nil"/>
              <w:left w:val="nil"/>
              <w:bottom w:val="nil"/>
              <w:right w:val="single" w:color="auto" w:sz="6" w:space="0"/>
            </w:tcBorders>
          </w:tcPr>
          <w:p>
            <w:pPr>
              <w:pStyle w:val="45"/>
              <w:autoSpaceDE/>
              <w:jc w:val="left"/>
            </w:pPr>
          </w:p>
        </w:tc>
        <w:tc>
          <w:tcPr>
            <w:tcW w:w="2828" w:type="dxa"/>
            <w:tcBorders>
              <w:top w:val="single" w:color="auto" w:sz="6" w:space="0"/>
              <w:left w:val="single" w:color="auto" w:sz="6" w:space="0"/>
              <w:bottom w:val="single" w:color="auto" w:sz="6" w:space="0"/>
              <w:right w:val="single" w:color="auto" w:sz="6" w:space="0"/>
            </w:tcBorders>
          </w:tcPr>
          <w:p>
            <w:pPr>
              <w:pStyle w:val="45"/>
              <w:autoSpaceDE/>
              <w:jc w:val="center"/>
            </w:pPr>
            <w:r>
              <w:rPr>
                <w:b/>
                <w:bCs/>
              </w:rPr>
              <w:t>Размер единого тарифа страховых взносов</w:t>
            </w:r>
          </w:p>
        </w:tc>
        <w:tc>
          <w:tcPr>
            <w:tcW w:w="567" w:type="dxa"/>
            <w:tcBorders>
              <w:top w:val="single" w:color="auto" w:sz="6" w:space="0"/>
              <w:left w:val="single" w:color="auto" w:sz="6" w:space="0"/>
              <w:bottom w:val="single" w:color="auto" w:sz="6" w:space="0"/>
              <w:right w:val="single" w:color="auto" w:sz="6" w:space="0"/>
            </w:tcBorders>
            <w:vAlign w:val="bottom"/>
          </w:tcPr>
          <w:p>
            <w:pPr>
              <w:pStyle w:val="45"/>
              <w:autoSpaceDE/>
              <w:jc w:val="center"/>
            </w:pP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Borders>
              <w:top w:val="nil"/>
              <w:left w:val="nil"/>
              <w:bottom w:val="nil"/>
              <w:right w:val="nil"/>
            </w:tcBorders>
            <w:vAlign w:val="bottom"/>
          </w:tcPr>
          <w:p>
            <w:pPr>
              <w:pStyle w:val="45"/>
              <w:autoSpaceDE/>
              <w:jc w:val="left"/>
            </w:pPr>
            <w:r>
              <w:t>СНИЛС</w:t>
            </w:r>
          </w:p>
        </w:tc>
        <w:tc>
          <w:tcPr>
            <w:tcW w:w="1928" w:type="dxa"/>
            <w:gridSpan w:val="2"/>
            <w:tcBorders>
              <w:top w:val="nil"/>
              <w:left w:val="nil"/>
              <w:bottom w:val="nil"/>
              <w:right w:val="nil"/>
            </w:tcBorders>
          </w:tcPr>
          <w:p>
            <w:pPr>
              <w:pStyle w:val="45"/>
              <w:autoSpaceDE/>
              <w:jc w:val="left"/>
            </w:pPr>
          </w:p>
        </w:tc>
        <w:tc>
          <w:tcPr>
            <w:tcW w:w="2477" w:type="dxa"/>
            <w:gridSpan w:val="2"/>
            <w:tcBorders>
              <w:top w:val="nil"/>
              <w:left w:val="nil"/>
              <w:bottom w:val="nil"/>
              <w:right w:val="nil"/>
            </w:tcBorders>
            <w:vAlign w:val="bottom"/>
          </w:tcPr>
          <w:p>
            <w:pPr>
              <w:pStyle w:val="45"/>
              <w:autoSpaceDE/>
              <w:jc w:val="left"/>
            </w:pPr>
            <w:r>
              <w:t>Гражданство (страна)</w:t>
            </w:r>
          </w:p>
        </w:tc>
        <w:tc>
          <w:tcPr>
            <w:tcW w:w="2154" w:type="dxa"/>
            <w:gridSpan w:val="2"/>
            <w:tcBorders>
              <w:top w:val="nil"/>
              <w:left w:val="nil"/>
              <w:bottom w:val="nil"/>
              <w:right w:val="nil"/>
            </w:tcBorders>
            <w:vAlign w:val="bottom"/>
          </w:tcPr>
          <w:p>
            <w:pPr>
              <w:pStyle w:val="45"/>
              <w:autoSpaceDE/>
              <w:jc w:val="left"/>
            </w:pPr>
          </w:p>
        </w:tc>
        <w:tc>
          <w:tcPr>
            <w:tcW w:w="1381" w:type="dxa"/>
            <w:gridSpan w:val="2"/>
            <w:tcBorders>
              <w:top w:val="nil"/>
              <w:left w:val="nil"/>
              <w:bottom w:val="nil"/>
              <w:right w:val="single" w:color="auto" w:sz="6" w:space="0"/>
            </w:tcBorders>
          </w:tcPr>
          <w:p>
            <w:pPr>
              <w:pStyle w:val="45"/>
              <w:autoSpaceDE/>
              <w:jc w:val="left"/>
            </w:pPr>
          </w:p>
        </w:tc>
        <w:tc>
          <w:tcPr>
            <w:tcW w:w="2828" w:type="dxa"/>
            <w:tcBorders>
              <w:top w:val="single" w:color="auto" w:sz="6" w:space="0"/>
              <w:left w:val="single" w:color="auto" w:sz="6" w:space="0"/>
              <w:bottom w:val="single" w:color="auto" w:sz="6" w:space="0"/>
              <w:right w:val="single" w:color="auto" w:sz="6" w:space="0"/>
            </w:tcBorders>
            <w:vAlign w:val="bottom"/>
          </w:tcPr>
          <w:p>
            <w:pPr>
              <w:pStyle w:val="45"/>
              <w:autoSpaceDE/>
              <w:jc w:val="left"/>
            </w:pPr>
            <w:r>
              <w:t>В пределах установленной единой предельной величины базы</w:t>
            </w:r>
          </w:p>
        </w:tc>
        <w:tc>
          <w:tcPr>
            <w:tcW w:w="567" w:type="dxa"/>
            <w:tcBorders>
              <w:top w:val="single" w:color="auto" w:sz="6" w:space="0"/>
              <w:left w:val="single" w:color="auto" w:sz="6" w:space="0"/>
              <w:bottom w:val="single" w:color="auto" w:sz="6" w:space="0"/>
              <w:right w:val="single" w:color="auto" w:sz="6" w:space="0"/>
            </w:tcBorders>
            <w:vAlign w:val="bottom"/>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Borders>
              <w:top w:val="nil"/>
              <w:left w:val="nil"/>
              <w:bottom w:val="nil"/>
              <w:right w:val="nil"/>
            </w:tcBorders>
            <w:vAlign w:val="bottom"/>
          </w:tcPr>
          <w:p>
            <w:pPr>
              <w:pStyle w:val="45"/>
              <w:autoSpaceDE/>
              <w:jc w:val="left"/>
            </w:pPr>
            <w:r>
              <w:t>Трудовой договор:</w:t>
            </w:r>
          </w:p>
          <w:p>
            <w:pPr>
              <w:pStyle w:val="45"/>
              <w:autoSpaceDE/>
              <w:jc w:val="left"/>
            </w:pPr>
            <w:r>
              <w:t>ДА / НЕТ</w:t>
            </w:r>
          </w:p>
        </w:tc>
        <w:tc>
          <w:tcPr>
            <w:tcW w:w="3668" w:type="dxa"/>
            <w:gridSpan w:val="3"/>
            <w:tcBorders>
              <w:top w:val="nil"/>
              <w:left w:val="nil"/>
              <w:bottom w:val="nil"/>
              <w:right w:val="nil"/>
            </w:tcBorders>
            <w:vAlign w:val="bottom"/>
          </w:tcPr>
          <w:p>
            <w:pPr>
              <w:pStyle w:val="45"/>
              <w:autoSpaceDE/>
              <w:jc w:val="left"/>
            </w:pPr>
            <w:r>
              <w:t>Гражданско-правовой договор:</w:t>
            </w:r>
          </w:p>
          <w:p>
            <w:pPr>
              <w:pStyle w:val="45"/>
              <w:autoSpaceDE/>
              <w:jc w:val="left"/>
            </w:pPr>
            <w:r>
              <w:t>ДА / НЕТ</w:t>
            </w:r>
          </w:p>
        </w:tc>
        <w:tc>
          <w:tcPr>
            <w:tcW w:w="3138" w:type="dxa"/>
            <w:gridSpan w:val="3"/>
            <w:tcBorders>
              <w:top w:val="nil"/>
              <w:left w:val="nil"/>
              <w:bottom w:val="nil"/>
              <w:right w:val="nil"/>
            </w:tcBorders>
            <w:vAlign w:val="bottom"/>
          </w:tcPr>
          <w:p>
            <w:pPr>
              <w:pStyle w:val="45"/>
              <w:autoSpaceDE/>
              <w:jc w:val="left"/>
            </w:pPr>
            <w:r>
              <w:t>Договор авторского заказа:</w:t>
            </w:r>
          </w:p>
          <w:p>
            <w:pPr>
              <w:pStyle w:val="45"/>
              <w:autoSpaceDE/>
              <w:jc w:val="left"/>
            </w:pPr>
            <w:r>
              <w:t>ДА / НЕТ</w:t>
            </w:r>
          </w:p>
        </w:tc>
        <w:tc>
          <w:tcPr>
            <w:tcW w:w="397" w:type="dxa"/>
            <w:tcBorders>
              <w:top w:val="nil"/>
              <w:left w:val="nil"/>
              <w:bottom w:val="nil"/>
              <w:right w:val="single" w:color="auto" w:sz="6" w:space="0"/>
            </w:tcBorders>
            <w:vAlign w:val="bottom"/>
          </w:tcPr>
          <w:p>
            <w:pPr>
              <w:pStyle w:val="45"/>
              <w:autoSpaceDE/>
              <w:jc w:val="left"/>
            </w:pPr>
          </w:p>
        </w:tc>
        <w:tc>
          <w:tcPr>
            <w:tcW w:w="2828" w:type="dxa"/>
            <w:tcBorders>
              <w:top w:val="single" w:color="auto" w:sz="6" w:space="0"/>
              <w:left w:val="single" w:color="auto" w:sz="6" w:space="0"/>
              <w:bottom w:val="single" w:color="auto" w:sz="6" w:space="0"/>
              <w:right w:val="single" w:color="auto" w:sz="6" w:space="0"/>
            </w:tcBorders>
            <w:vAlign w:val="bottom"/>
          </w:tcPr>
          <w:p>
            <w:pPr>
              <w:pStyle w:val="45"/>
              <w:autoSpaceDE/>
              <w:jc w:val="left"/>
            </w:pPr>
            <w:r>
              <w:t>Свыше установленной единой предельной величины базы</w:t>
            </w:r>
          </w:p>
        </w:tc>
        <w:tc>
          <w:tcPr>
            <w:tcW w:w="567" w:type="dxa"/>
            <w:tcBorders>
              <w:top w:val="single" w:color="auto" w:sz="6" w:space="0"/>
              <w:left w:val="single" w:color="auto" w:sz="6" w:space="0"/>
              <w:bottom w:val="single" w:color="auto" w:sz="6" w:space="0"/>
              <w:right w:val="single" w:color="auto" w:sz="6" w:space="0"/>
            </w:tcBorders>
            <w:vAlign w:val="bottom"/>
          </w:tcPr>
          <w:p>
            <w:pPr>
              <w:pStyle w:val="45"/>
              <w:autoSpaceDE/>
              <w:jc w:val="left"/>
            </w:pPr>
          </w:p>
        </w:tc>
      </w:tr>
    </w:tbl>
    <w:p>
      <w:pPr>
        <w:pStyle w:val="44"/>
        <w:rPr>
          <w:rFonts w:ascii="Times New Roman" w:hAnsi="Times New Roman" w:cs="Times New Roman"/>
          <w:sz w:val="24"/>
          <w:szCs w:val="24"/>
        </w:rPr>
      </w:pPr>
    </w:p>
    <w:p>
      <w:pPr>
        <w:pStyle w:val="44"/>
        <w:rPr>
          <w:rFonts w:ascii="Times New Roman" w:hAnsi="Times New Roman" w:cs="Times New Roman"/>
          <w:sz w:val="24"/>
          <w:szCs w:val="24"/>
        </w:rPr>
      </w:pPr>
      <w:r>
        <w:rPr>
          <w:rFonts w:ascii="Times New Roman" w:hAnsi="Times New Roman" w:cs="Times New Roman"/>
          <w:b/>
          <w:bCs/>
          <w:sz w:val="24"/>
          <w:szCs w:val="24"/>
          <w:vertAlign w:val="superscript"/>
        </w:rPr>
        <w:t>1</w:t>
      </w:r>
      <w:r>
        <w:rPr>
          <w:rFonts w:ascii="Times New Roman" w:hAnsi="Times New Roman" w:cs="Times New Roman"/>
          <w:sz w:val="24"/>
          <w:szCs w:val="24"/>
        </w:rPr>
        <w:t xml:space="preserve"> Дополнительные страницы заполняются в случае использования тарифов, отличных от основного. Нумерация страниц сквозная.</w:t>
      </w:r>
    </w:p>
    <w:p>
      <w:pPr>
        <w:pStyle w:val="44"/>
        <w:rPr>
          <w:rFonts w:ascii="Times New Roman" w:hAnsi="Times New Roman" w:cs="Times New Roman"/>
          <w:sz w:val="24"/>
          <w:szCs w:val="24"/>
        </w:rPr>
      </w:pPr>
    </w:p>
    <w:tbl>
      <w:tblPr>
        <w:tblStyle w:val="29"/>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992"/>
        <w:gridCol w:w="1027"/>
        <w:gridCol w:w="1028"/>
        <w:gridCol w:w="1028"/>
        <w:gridCol w:w="1028"/>
        <w:gridCol w:w="1027"/>
        <w:gridCol w:w="1028"/>
        <w:gridCol w:w="1028"/>
        <w:gridCol w:w="1028"/>
        <w:gridCol w:w="1027"/>
        <w:gridCol w:w="1028"/>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Merge w:val="restart"/>
            <w:tcBorders>
              <w:top w:val="single" w:color="auto" w:sz="6" w:space="0"/>
              <w:left w:val="single" w:color="auto" w:sz="6" w:space="0"/>
              <w:bottom w:val="nil"/>
              <w:right w:val="single" w:color="auto" w:sz="6" w:space="0"/>
            </w:tcBorders>
          </w:tcPr>
          <w:p>
            <w:pPr>
              <w:pStyle w:val="45"/>
              <w:autoSpaceDE/>
              <w:jc w:val="left"/>
            </w:pPr>
          </w:p>
        </w:tc>
        <w:tc>
          <w:tcPr>
            <w:tcW w:w="12333" w:type="dxa"/>
            <w:gridSpan w:val="12"/>
            <w:tcBorders>
              <w:top w:val="single" w:color="auto" w:sz="6" w:space="0"/>
              <w:left w:val="single" w:color="auto" w:sz="6" w:space="0"/>
              <w:bottom w:val="single" w:color="auto" w:sz="6" w:space="0"/>
              <w:right w:val="single" w:color="auto" w:sz="6" w:space="0"/>
            </w:tcBorders>
          </w:tcPr>
          <w:p>
            <w:pPr>
              <w:pStyle w:val="45"/>
              <w:autoSpaceDE/>
              <w:jc w:val="center"/>
            </w:pPr>
            <w:r>
              <w:t>Суммы (в рублях и копейках)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02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Январь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Февраль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Март</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Апрель</w:t>
            </w:r>
          </w:p>
        </w:tc>
        <w:tc>
          <w:tcPr>
            <w:tcW w:w="102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Май</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Июнь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Июль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Август</w:t>
            </w:r>
          </w:p>
        </w:tc>
        <w:tc>
          <w:tcPr>
            <w:tcW w:w="1027"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Сентябрь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Октябрь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Ноябрь</w:t>
            </w:r>
          </w:p>
        </w:tc>
        <w:tc>
          <w:tcPr>
            <w:tcW w:w="1028"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Декабрь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restart"/>
            <w:tcBorders>
              <w:top w:val="single" w:color="auto" w:sz="6" w:space="0"/>
              <w:left w:val="single" w:color="auto" w:sz="6" w:space="0"/>
              <w:bottom w:val="nil"/>
              <w:right w:val="single" w:color="auto" w:sz="6" w:space="0"/>
            </w:tcBorders>
          </w:tcPr>
          <w:p>
            <w:pPr>
              <w:pStyle w:val="45"/>
              <w:autoSpaceDE/>
              <w:jc w:val="left"/>
            </w:pPr>
            <w:r>
              <w:t>Выплаты в соответствии с п. 1 ст. 420 НК РФ</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Borders>
              <w:top w:val="single" w:color="auto" w:sz="6" w:space="0"/>
              <w:left w:val="single" w:color="auto" w:sz="6" w:space="0"/>
              <w:bottom w:val="nil"/>
              <w:right w:val="single" w:color="auto" w:sz="6" w:space="0"/>
            </w:tcBorders>
          </w:tcPr>
          <w:p>
            <w:pPr>
              <w:pStyle w:val="45"/>
              <w:autoSpaceDE/>
              <w:jc w:val="left"/>
            </w:pPr>
            <w:r>
              <w:t>Из них суммы, не подлежащие обложению страховыми взносами:</w:t>
            </w:r>
          </w:p>
        </w:tc>
        <w:tc>
          <w:tcPr>
            <w:tcW w:w="992" w:type="dxa"/>
            <w:vMerge w:val="restart"/>
            <w:tcBorders>
              <w:top w:val="single" w:color="auto" w:sz="6" w:space="0"/>
              <w:left w:val="single" w:color="auto" w:sz="6" w:space="0"/>
              <w:bottom w:val="nil"/>
              <w:right w:val="single" w:color="auto" w:sz="6" w:space="0"/>
            </w:tcBorders>
          </w:tcPr>
          <w:p>
            <w:pPr>
              <w:pStyle w:val="45"/>
              <w:autoSpaceDE/>
              <w:jc w:val="left"/>
            </w:pPr>
            <w:r>
              <w:t>по п. п. 8, 9 ст. 421 НК РФ</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vMerge w:val="restart"/>
            <w:tcBorders>
              <w:top w:val="single" w:color="auto" w:sz="6" w:space="0"/>
              <w:left w:val="single" w:color="auto" w:sz="6" w:space="0"/>
              <w:bottom w:val="nil"/>
              <w:right w:val="single" w:color="auto" w:sz="6" w:space="0"/>
            </w:tcBorders>
          </w:tcPr>
          <w:p>
            <w:pPr>
              <w:pStyle w:val="45"/>
              <w:autoSpaceDE/>
              <w:jc w:val="left"/>
            </w:pPr>
            <w:r>
              <w:t>по п. п. 1, 2 ст. 422 НК РФ</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restart"/>
            <w:tcBorders>
              <w:top w:val="single" w:color="auto" w:sz="6" w:space="0"/>
              <w:left w:val="single" w:color="auto" w:sz="6" w:space="0"/>
              <w:bottom w:val="nil"/>
              <w:right w:val="single" w:color="auto" w:sz="6" w:space="0"/>
            </w:tcBorders>
          </w:tcPr>
          <w:p>
            <w:pPr>
              <w:pStyle w:val="45"/>
              <w:autoSpaceDE/>
              <w:jc w:val="left"/>
            </w:pPr>
            <w:r>
              <w:t>Единая база для начисления страховых взносов</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restart"/>
            <w:tcBorders>
              <w:top w:val="single" w:color="auto" w:sz="6" w:space="0"/>
              <w:left w:val="single" w:color="auto" w:sz="6" w:space="0"/>
              <w:bottom w:val="nil"/>
              <w:right w:val="single" w:color="auto" w:sz="6" w:space="0"/>
            </w:tcBorders>
          </w:tcPr>
          <w:p>
            <w:pPr>
              <w:pStyle w:val="45"/>
              <w:autoSpaceDE/>
              <w:jc w:val="left"/>
            </w:pPr>
            <w:r>
              <w:t>Суммы выплат, превышающие установленную единую предельную величину базы</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Borders>
              <w:top w:val="single" w:color="auto" w:sz="6" w:space="0"/>
              <w:left w:val="single" w:color="auto" w:sz="6" w:space="0"/>
              <w:bottom w:val="nil"/>
              <w:right w:val="single" w:color="auto" w:sz="6" w:space="0"/>
            </w:tcBorders>
          </w:tcPr>
          <w:p>
            <w:pPr>
              <w:pStyle w:val="45"/>
              <w:autoSpaceDE/>
              <w:jc w:val="left"/>
            </w:pPr>
            <w:r>
              <w:t>Начислено страховых взносов</w:t>
            </w:r>
          </w:p>
        </w:tc>
        <w:tc>
          <w:tcPr>
            <w:tcW w:w="992" w:type="dxa"/>
            <w:vMerge w:val="restart"/>
            <w:tcBorders>
              <w:top w:val="single" w:color="auto" w:sz="6" w:space="0"/>
              <w:left w:val="single" w:color="auto" w:sz="6" w:space="0"/>
              <w:bottom w:val="nil"/>
              <w:right w:val="single" w:color="auto" w:sz="6" w:space="0"/>
            </w:tcBorders>
          </w:tcPr>
          <w:p>
            <w:pPr>
              <w:pStyle w:val="45"/>
              <w:autoSpaceDE/>
              <w:jc w:val="left"/>
            </w:pPr>
            <w:r>
              <w:t>с сумм, не прев. пред. величину</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992" w:type="dxa"/>
            <w:vMerge w:val="restart"/>
            <w:tcBorders>
              <w:top w:val="single" w:color="auto" w:sz="6" w:space="0"/>
              <w:left w:val="single" w:color="auto" w:sz="6" w:space="0"/>
              <w:bottom w:val="nil"/>
              <w:right w:val="single" w:color="auto" w:sz="6" w:space="0"/>
            </w:tcBorders>
          </w:tcPr>
          <w:p>
            <w:pPr>
              <w:pStyle w:val="45"/>
              <w:autoSpaceDE/>
              <w:jc w:val="left"/>
            </w:pPr>
            <w:r>
              <w:t>с сумм, превыш. пред. величину</w:t>
            </w: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992"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7"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28"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098"/>
        <w:gridCol w:w="1701"/>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tcBorders>
              <w:top w:val="nil"/>
              <w:left w:val="nil"/>
              <w:bottom w:val="nil"/>
              <w:right w:val="nil"/>
            </w:tcBorders>
          </w:tcPr>
          <w:p>
            <w:pPr>
              <w:pStyle w:val="45"/>
              <w:autoSpaceDE/>
              <w:jc w:val="left"/>
            </w:pPr>
            <w:r>
              <w:t>Ответственное лицо:</w:t>
            </w:r>
          </w:p>
        </w:tc>
        <w:tc>
          <w:tcPr>
            <w:tcW w:w="2098" w:type="dxa"/>
            <w:tcBorders>
              <w:top w:val="nil"/>
              <w:left w:val="nil"/>
              <w:bottom w:val="nil"/>
              <w:right w:val="nil"/>
            </w:tcBorders>
          </w:tcPr>
          <w:p>
            <w:pPr>
              <w:pStyle w:val="45"/>
              <w:autoSpaceDE/>
              <w:jc w:val="center"/>
            </w:pPr>
            <w:r>
              <w:t>_____________</w:t>
            </w:r>
          </w:p>
          <w:p>
            <w:pPr>
              <w:pStyle w:val="45"/>
              <w:autoSpaceDE/>
              <w:jc w:val="center"/>
            </w:pPr>
            <w:r>
              <w:t>(должность)</w:t>
            </w:r>
          </w:p>
        </w:tc>
        <w:tc>
          <w:tcPr>
            <w:tcW w:w="1701" w:type="dxa"/>
            <w:tcBorders>
              <w:top w:val="nil"/>
              <w:left w:val="nil"/>
              <w:bottom w:val="nil"/>
              <w:right w:val="nil"/>
            </w:tcBorders>
          </w:tcPr>
          <w:p>
            <w:pPr>
              <w:pStyle w:val="45"/>
              <w:autoSpaceDE/>
              <w:jc w:val="center"/>
            </w:pPr>
            <w:r>
              <w:t>__________</w:t>
            </w:r>
          </w:p>
          <w:p>
            <w:pPr>
              <w:pStyle w:val="45"/>
              <w:autoSpaceDE/>
              <w:jc w:val="center"/>
            </w:pPr>
            <w:r>
              <w:t>(подпись)</w:t>
            </w:r>
          </w:p>
        </w:tc>
        <w:tc>
          <w:tcPr>
            <w:tcW w:w="2721" w:type="dxa"/>
            <w:tcBorders>
              <w:top w:val="nil"/>
              <w:left w:val="nil"/>
              <w:bottom w:val="nil"/>
              <w:right w:val="nil"/>
            </w:tcBorders>
          </w:tcPr>
          <w:p>
            <w:pPr>
              <w:pStyle w:val="45"/>
              <w:autoSpaceDE/>
              <w:jc w:val="center"/>
            </w:pPr>
            <w:r>
              <w:t>___________________</w:t>
            </w:r>
          </w:p>
          <w:p>
            <w:pPr>
              <w:pStyle w:val="45"/>
              <w:autoSpaceDE/>
              <w:jc w:val="center"/>
            </w:pPr>
            <w:r>
              <w:t>(Ф.И.О.)</w:t>
            </w:r>
          </w:p>
        </w:tc>
      </w:tr>
    </w:tbl>
    <w:p>
      <w:pPr>
        <w:pStyle w:val="44"/>
        <w:rPr>
          <w:rFonts w:ascii="Times New Roman" w:hAnsi="Times New Roman" w:cs="Times New Roman"/>
          <w:sz w:val="24"/>
          <w:szCs w:val="24"/>
        </w:rPr>
      </w:pPr>
    </w:p>
    <w:p>
      <w:pPr>
        <w:pStyle w:val="44"/>
        <w:jc w:val="center"/>
        <w:rPr>
          <w:rFonts w:ascii="Times New Roman" w:hAnsi="Times New Roman" w:cs="Times New Roman"/>
          <w:sz w:val="24"/>
          <w:szCs w:val="24"/>
        </w:rPr>
      </w:pPr>
      <w:r>
        <w:rPr>
          <w:rFonts w:ascii="Times New Roman" w:hAnsi="Times New Roman" w:cs="Times New Roman"/>
          <w:b/>
          <w:bCs/>
          <w:sz w:val="24"/>
          <w:szCs w:val="24"/>
        </w:rPr>
        <w:t>8. Регистр (карточка) индивидуального учета</w:t>
      </w:r>
    </w:p>
    <w:p>
      <w:pPr>
        <w:pStyle w:val="44"/>
        <w:jc w:val="center"/>
        <w:rPr>
          <w:rFonts w:ascii="Times New Roman" w:hAnsi="Times New Roman" w:cs="Times New Roman"/>
          <w:sz w:val="24"/>
          <w:szCs w:val="24"/>
        </w:rPr>
      </w:pPr>
      <w:r>
        <w:rPr>
          <w:rFonts w:ascii="Times New Roman" w:hAnsi="Times New Roman" w:cs="Times New Roman"/>
          <w:b/>
          <w:bCs/>
          <w:sz w:val="24"/>
          <w:szCs w:val="24"/>
        </w:rPr>
        <w:t>начислений страховых взносов</w:t>
      </w:r>
    </w:p>
    <w:p>
      <w:pPr>
        <w:pStyle w:val="44"/>
        <w:jc w:val="center"/>
        <w:rPr>
          <w:rFonts w:ascii="Times New Roman" w:hAnsi="Times New Roman" w:cs="Times New Roman"/>
          <w:sz w:val="24"/>
          <w:szCs w:val="24"/>
        </w:rPr>
      </w:pPr>
      <w:r>
        <w:rPr>
          <w:rFonts w:ascii="Times New Roman" w:hAnsi="Times New Roman" w:cs="Times New Roman"/>
          <w:b/>
          <w:bCs/>
          <w:sz w:val="24"/>
          <w:szCs w:val="24"/>
        </w:rPr>
        <w:t>по обязательному социальному страхованию</w:t>
      </w:r>
    </w:p>
    <w:p>
      <w:pPr>
        <w:pStyle w:val="44"/>
        <w:jc w:val="center"/>
        <w:rPr>
          <w:rFonts w:ascii="Times New Roman" w:hAnsi="Times New Roman" w:cs="Times New Roman"/>
          <w:sz w:val="24"/>
          <w:szCs w:val="24"/>
        </w:rPr>
      </w:pPr>
      <w:r>
        <w:rPr>
          <w:rFonts w:ascii="Times New Roman" w:hAnsi="Times New Roman" w:cs="Times New Roman"/>
          <w:b/>
          <w:bCs/>
          <w:sz w:val="24"/>
          <w:szCs w:val="24"/>
        </w:rPr>
        <w:t>от несчастных случаев</w:t>
      </w:r>
    </w:p>
    <w:p>
      <w:pPr>
        <w:pStyle w:val="44"/>
        <w:jc w:val="center"/>
        <w:rPr>
          <w:rFonts w:ascii="Times New Roman" w:hAnsi="Times New Roman" w:cs="Times New Roman"/>
          <w:sz w:val="24"/>
          <w:szCs w:val="24"/>
        </w:rPr>
      </w:pPr>
      <w:r>
        <w:rPr>
          <w:rFonts w:ascii="Times New Roman" w:hAnsi="Times New Roman" w:cs="Times New Roman"/>
          <w:b/>
          <w:bCs/>
          <w:sz w:val="24"/>
          <w:szCs w:val="24"/>
        </w:rPr>
        <w:t>на производстве и профессиональных заболеваний</w:t>
      </w:r>
    </w:p>
    <w:p>
      <w:pPr>
        <w:pStyle w:val="44"/>
        <w:jc w:val="center"/>
        <w:rPr>
          <w:rFonts w:ascii="Times New Roman" w:hAnsi="Times New Roman" w:cs="Times New Roman"/>
          <w:sz w:val="24"/>
          <w:szCs w:val="24"/>
        </w:rPr>
      </w:pPr>
      <w:r>
        <w:rPr>
          <w:rFonts w:ascii="Times New Roman" w:hAnsi="Times New Roman" w:cs="Times New Roman"/>
          <w:b/>
          <w:bCs/>
          <w:sz w:val="24"/>
          <w:szCs w:val="24"/>
        </w:rPr>
        <w:t>за _____________ г.</w:t>
      </w:r>
    </w:p>
    <w:p>
      <w:pPr>
        <w:pStyle w:val="44"/>
        <w:rPr>
          <w:rFonts w:ascii="Times New Roman" w:hAnsi="Times New Roman" w:cs="Times New Roman"/>
          <w:sz w:val="24"/>
          <w:szCs w:val="24"/>
        </w:rPr>
      </w:pPr>
    </w:p>
    <w:tbl>
      <w:tblPr>
        <w:tblStyle w:val="29"/>
        <w:tblW w:w="13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774"/>
        <w:gridCol w:w="1247"/>
        <w:gridCol w:w="2551"/>
        <w:gridCol w:w="624"/>
        <w:gridCol w:w="1757"/>
        <w:gridCol w:w="147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2" w:type="dxa"/>
            <w:gridSpan w:val="7"/>
            <w:tcBorders>
              <w:top w:val="nil"/>
              <w:left w:val="nil"/>
              <w:bottom w:val="nil"/>
              <w:right w:val="nil"/>
            </w:tcBorders>
          </w:tcPr>
          <w:p>
            <w:pPr>
              <w:pStyle w:val="45"/>
              <w:autoSpaceDE/>
              <w:jc w:val="center"/>
            </w:pPr>
            <w:r>
              <w:rPr>
                <w:b/>
                <w:bCs/>
              </w:rPr>
              <w:t>КАРТОЧКА</w:t>
            </w:r>
          </w:p>
        </w:tc>
        <w:tc>
          <w:tcPr>
            <w:tcW w:w="2381" w:type="dxa"/>
            <w:tcBorders>
              <w:top w:val="nil"/>
              <w:left w:val="nil"/>
              <w:bottom w:val="nil"/>
              <w:right w:val="nil"/>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2" w:type="dxa"/>
            <w:gridSpan w:val="7"/>
            <w:tcBorders>
              <w:top w:val="nil"/>
              <w:left w:val="nil"/>
              <w:bottom w:val="nil"/>
              <w:right w:val="nil"/>
            </w:tcBorders>
          </w:tcPr>
          <w:p>
            <w:pPr>
              <w:pStyle w:val="45"/>
              <w:autoSpaceDE/>
              <w:jc w:val="center"/>
            </w:pPr>
            <w:r>
              <w:rPr>
                <w:b/>
                <w:bCs/>
              </w:rPr>
              <w:t>учета сумм начисленных выплат и иных вознаграждений и сумм</w:t>
            </w:r>
          </w:p>
          <w:p>
            <w:pPr>
              <w:pStyle w:val="45"/>
              <w:autoSpaceDE/>
              <w:jc w:val="center"/>
            </w:pPr>
            <w:r>
              <w:rPr>
                <w:b/>
                <w:bCs/>
              </w:rPr>
              <w:t>начисленных страховых взносов на НС и ПЗ за ____________ год</w:t>
            </w:r>
          </w:p>
        </w:tc>
        <w:tc>
          <w:tcPr>
            <w:tcW w:w="2381" w:type="dxa"/>
            <w:tcBorders>
              <w:top w:val="nil"/>
              <w:left w:val="nil"/>
              <w:bottom w:val="nil"/>
              <w:right w:val="nil"/>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2" w:type="dxa"/>
            <w:gridSpan w:val="7"/>
            <w:tcBorders>
              <w:top w:val="nil"/>
              <w:left w:val="nil"/>
              <w:bottom w:val="nil"/>
              <w:right w:val="nil"/>
            </w:tcBorders>
          </w:tcPr>
          <w:p>
            <w:pPr>
              <w:pStyle w:val="45"/>
              <w:autoSpaceDE/>
              <w:jc w:val="left"/>
            </w:pPr>
          </w:p>
        </w:tc>
        <w:tc>
          <w:tcPr>
            <w:tcW w:w="2381" w:type="dxa"/>
            <w:tcBorders>
              <w:top w:val="nil"/>
              <w:left w:val="nil"/>
              <w:bottom w:val="nil"/>
              <w:right w:val="nil"/>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tcBorders>
              <w:top w:val="nil"/>
              <w:left w:val="nil"/>
              <w:bottom w:val="nil"/>
              <w:right w:val="nil"/>
            </w:tcBorders>
          </w:tcPr>
          <w:p>
            <w:pPr>
              <w:pStyle w:val="45"/>
              <w:autoSpaceDE/>
              <w:jc w:val="left"/>
            </w:pPr>
            <w:r>
              <w:t>Плательщик</w:t>
            </w:r>
          </w:p>
        </w:tc>
        <w:tc>
          <w:tcPr>
            <w:tcW w:w="6196" w:type="dxa"/>
            <w:gridSpan w:val="4"/>
            <w:tcBorders>
              <w:top w:val="nil"/>
              <w:left w:val="nil"/>
              <w:bottom w:val="nil"/>
              <w:right w:val="nil"/>
            </w:tcBorders>
          </w:tcPr>
          <w:p>
            <w:pPr>
              <w:pStyle w:val="45"/>
              <w:autoSpaceDE/>
              <w:jc w:val="left"/>
            </w:pPr>
          </w:p>
        </w:tc>
        <w:tc>
          <w:tcPr>
            <w:tcW w:w="1757" w:type="dxa"/>
            <w:tcBorders>
              <w:top w:val="nil"/>
              <w:left w:val="nil"/>
              <w:bottom w:val="nil"/>
              <w:right w:val="nil"/>
            </w:tcBorders>
          </w:tcPr>
          <w:p>
            <w:pPr>
              <w:pStyle w:val="45"/>
              <w:autoSpaceDE/>
              <w:jc w:val="left"/>
            </w:pPr>
            <w:r>
              <w:t>ИНН/КПП</w:t>
            </w:r>
          </w:p>
        </w:tc>
        <w:tc>
          <w:tcPr>
            <w:tcW w:w="1474" w:type="dxa"/>
            <w:tcBorders>
              <w:top w:val="nil"/>
              <w:left w:val="nil"/>
              <w:bottom w:val="nil"/>
              <w:right w:val="nil"/>
            </w:tcBorders>
          </w:tcPr>
          <w:p>
            <w:pPr>
              <w:pStyle w:val="45"/>
              <w:autoSpaceDE/>
              <w:jc w:val="left"/>
            </w:pPr>
          </w:p>
        </w:tc>
        <w:tc>
          <w:tcPr>
            <w:tcW w:w="2381" w:type="dxa"/>
            <w:tcBorders>
              <w:top w:val="nil"/>
              <w:left w:val="nil"/>
              <w:bottom w:val="nil"/>
              <w:right w:val="nil"/>
            </w:tcBorders>
          </w:tcPr>
          <w:p>
            <w:pPr>
              <w:pStyle w:val="45"/>
              <w:autoSpaceDE/>
              <w:jc w:val="left"/>
            </w:pPr>
            <w:r>
              <w:t>Тариф,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tcBorders>
              <w:top w:val="nil"/>
              <w:left w:val="nil"/>
              <w:bottom w:val="nil"/>
              <w:right w:val="nil"/>
            </w:tcBorders>
          </w:tcPr>
          <w:p>
            <w:pPr>
              <w:pStyle w:val="45"/>
              <w:autoSpaceDE/>
              <w:jc w:val="left"/>
            </w:pPr>
            <w:r>
              <w:t>Фамилия</w:t>
            </w:r>
          </w:p>
        </w:tc>
        <w:tc>
          <w:tcPr>
            <w:tcW w:w="3021" w:type="dxa"/>
            <w:gridSpan w:val="2"/>
            <w:tcBorders>
              <w:top w:val="nil"/>
              <w:left w:val="nil"/>
              <w:bottom w:val="nil"/>
              <w:right w:val="nil"/>
            </w:tcBorders>
          </w:tcPr>
          <w:p>
            <w:pPr>
              <w:pStyle w:val="45"/>
              <w:autoSpaceDE/>
              <w:jc w:val="left"/>
            </w:pPr>
          </w:p>
        </w:tc>
        <w:tc>
          <w:tcPr>
            <w:tcW w:w="3175" w:type="dxa"/>
            <w:gridSpan w:val="2"/>
            <w:tcBorders>
              <w:top w:val="nil"/>
              <w:left w:val="nil"/>
              <w:bottom w:val="nil"/>
              <w:right w:val="nil"/>
            </w:tcBorders>
          </w:tcPr>
          <w:p>
            <w:pPr>
              <w:pStyle w:val="45"/>
              <w:autoSpaceDE/>
              <w:jc w:val="left"/>
            </w:pPr>
            <w:r>
              <w:t>Имя</w:t>
            </w:r>
          </w:p>
        </w:tc>
        <w:tc>
          <w:tcPr>
            <w:tcW w:w="1757" w:type="dxa"/>
            <w:tcBorders>
              <w:top w:val="nil"/>
              <w:left w:val="nil"/>
              <w:bottom w:val="nil"/>
              <w:right w:val="nil"/>
            </w:tcBorders>
          </w:tcPr>
          <w:p>
            <w:pPr>
              <w:pStyle w:val="45"/>
              <w:autoSpaceDE/>
              <w:jc w:val="left"/>
            </w:pPr>
            <w:r>
              <w:t>Отчество</w:t>
            </w:r>
          </w:p>
        </w:tc>
        <w:tc>
          <w:tcPr>
            <w:tcW w:w="1474" w:type="dxa"/>
            <w:tcBorders>
              <w:top w:val="nil"/>
              <w:left w:val="nil"/>
              <w:bottom w:val="nil"/>
              <w:right w:val="nil"/>
            </w:tcBorders>
          </w:tcPr>
          <w:p>
            <w:pPr>
              <w:pStyle w:val="45"/>
              <w:autoSpaceDE/>
              <w:jc w:val="left"/>
            </w:pPr>
          </w:p>
        </w:tc>
        <w:tc>
          <w:tcPr>
            <w:tcW w:w="2381" w:type="dxa"/>
            <w:tcBorders>
              <w:top w:val="nil"/>
              <w:left w:val="nil"/>
              <w:bottom w:val="nil"/>
              <w:right w:val="nil"/>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9" w:type="dxa"/>
            <w:gridSpan w:val="2"/>
            <w:tcBorders>
              <w:top w:val="nil"/>
              <w:left w:val="nil"/>
              <w:bottom w:val="nil"/>
              <w:right w:val="nil"/>
            </w:tcBorders>
          </w:tcPr>
          <w:p>
            <w:pPr>
              <w:pStyle w:val="45"/>
              <w:autoSpaceDE/>
              <w:jc w:val="left"/>
            </w:pPr>
            <w:r>
              <w:t>Наличие инвалидности:</w:t>
            </w:r>
          </w:p>
          <w:p>
            <w:pPr>
              <w:pStyle w:val="45"/>
              <w:autoSpaceDE/>
              <w:jc w:val="left"/>
            </w:pPr>
            <w:r>
              <w:t>ДА / НЕТ</w:t>
            </w:r>
          </w:p>
        </w:tc>
        <w:tc>
          <w:tcPr>
            <w:tcW w:w="3798" w:type="dxa"/>
            <w:gridSpan w:val="2"/>
            <w:tcBorders>
              <w:top w:val="nil"/>
              <w:left w:val="nil"/>
              <w:bottom w:val="nil"/>
              <w:right w:val="nil"/>
            </w:tcBorders>
          </w:tcPr>
          <w:p>
            <w:pPr>
              <w:pStyle w:val="45"/>
              <w:autoSpaceDE/>
              <w:jc w:val="left"/>
            </w:pPr>
            <w:r>
              <w:t>Дата выдачи справки:</w:t>
            </w:r>
          </w:p>
        </w:tc>
        <w:tc>
          <w:tcPr>
            <w:tcW w:w="2381" w:type="dxa"/>
            <w:gridSpan w:val="2"/>
            <w:tcBorders>
              <w:top w:val="nil"/>
              <w:left w:val="nil"/>
              <w:bottom w:val="nil"/>
              <w:right w:val="nil"/>
            </w:tcBorders>
          </w:tcPr>
          <w:p>
            <w:pPr>
              <w:pStyle w:val="45"/>
              <w:autoSpaceDE/>
              <w:jc w:val="left"/>
            </w:pPr>
            <w:r>
              <w:t>Дата окончания действия справки:</w:t>
            </w:r>
          </w:p>
        </w:tc>
        <w:tc>
          <w:tcPr>
            <w:tcW w:w="1474" w:type="dxa"/>
            <w:tcBorders>
              <w:top w:val="nil"/>
              <w:left w:val="nil"/>
              <w:bottom w:val="nil"/>
              <w:right w:val="nil"/>
            </w:tcBorders>
          </w:tcPr>
          <w:p>
            <w:pPr>
              <w:pStyle w:val="45"/>
              <w:autoSpaceDE/>
              <w:jc w:val="left"/>
            </w:pPr>
          </w:p>
        </w:tc>
        <w:tc>
          <w:tcPr>
            <w:tcW w:w="2381" w:type="dxa"/>
            <w:tcBorders>
              <w:top w:val="nil"/>
              <w:left w:val="nil"/>
              <w:bottom w:val="nil"/>
              <w:right w:val="nil"/>
            </w:tcBorders>
          </w:tcPr>
          <w:p>
            <w:pPr>
              <w:pStyle w:val="45"/>
              <w:autoSpaceDE/>
              <w:jc w:val="left"/>
            </w:pPr>
            <w:r>
              <w:t>Льготный тариф, %</w:t>
            </w:r>
          </w:p>
        </w:tc>
      </w:tr>
    </w:tbl>
    <w:p>
      <w:pPr>
        <w:pStyle w:val="44"/>
        <w:rPr>
          <w:rFonts w:ascii="Times New Roman" w:hAnsi="Times New Roman" w:cs="Times New Roman"/>
          <w:sz w:val="24"/>
          <w:szCs w:val="24"/>
        </w:rPr>
      </w:pPr>
    </w:p>
    <w:tbl>
      <w:tblPr>
        <w:tblStyle w:val="29"/>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271"/>
        <w:gridCol w:w="1039"/>
        <w:gridCol w:w="1040"/>
        <w:gridCol w:w="1039"/>
        <w:gridCol w:w="1040"/>
        <w:gridCol w:w="1039"/>
        <w:gridCol w:w="1040"/>
        <w:gridCol w:w="1039"/>
        <w:gridCol w:w="1040"/>
        <w:gridCol w:w="1039"/>
        <w:gridCol w:w="1040"/>
        <w:gridCol w:w="103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gridSpan w:val="2"/>
            <w:vMerge w:val="restart"/>
            <w:tcBorders>
              <w:top w:val="single" w:color="auto" w:sz="6" w:space="0"/>
              <w:left w:val="single" w:color="auto" w:sz="6" w:space="0"/>
              <w:bottom w:val="nil"/>
              <w:right w:val="single" w:color="auto" w:sz="6" w:space="0"/>
            </w:tcBorders>
          </w:tcPr>
          <w:p>
            <w:pPr>
              <w:pStyle w:val="45"/>
              <w:autoSpaceDE/>
              <w:jc w:val="left"/>
            </w:pPr>
          </w:p>
        </w:tc>
        <w:tc>
          <w:tcPr>
            <w:tcW w:w="12474" w:type="dxa"/>
            <w:gridSpan w:val="12"/>
            <w:tcBorders>
              <w:top w:val="single" w:color="auto" w:sz="6" w:space="0"/>
              <w:left w:val="single" w:color="auto" w:sz="6" w:space="0"/>
              <w:bottom w:val="single" w:color="auto" w:sz="6" w:space="0"/>
              <w:right w:val="single" w:color="auto" w:sz="6" w:space="0"/>
            </w:tcBorders>
          </w:tcPr>
          <w:p>
            <w:pPr>
              <w:pStyle w:val="45"/>
              <w:autoSpaceDE/>
              <w:jc w:val="center"/>
            </w:pPr>
            <w:r>
              <w:t>Суммы (в рублях и копейках)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gridSpan w:val="2"/>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Январь</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Февраль</w:t>
            </w: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Март</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Апрель</w:t>
            </w: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Май</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Июнь</w:t>
            </w: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Июль</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Август</w:t>
            </w: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Сентябрь</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Октябрь</w:t>
            </w:r>
          </w:p>
        </w:tc>
        <w:tc>
          <w:tcPr>
            <w:tcW w:w="1039"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Ноябрь</w:t>
            </w:r>
          </w:p>
        </w:tc>
        <w:tc>
          <w:tcPr>
            <w:tcW w:w="1040" w:type="dxa"/>
            <w:tcBorders>
              <w:top w:val="single" w:color="auto" w:sz="6" w:space="0"/>
              <w:left w:val="single" w:color="auto" w:sz="6" w:space="0"/>
              <w:bottom w:val="single" w:color="auto" w:sz="6" w:space="0"/>
              <w:right w:val="single" w:color="auto" w:sz="6" w:space="0"/>
            </w:tcBorders>
          </w:tcPr>
          <w:p>
            <w:pPr>
              <w:pStyle w:val="45"/>
              <w:autoSpaceDE/>
              <w:ind w:left="-57" w:right="-57"/>
              <w:jc w:val="center"/>
              <w:rPr>
                <w:spacing w:val="-10"/>
              </w:rPr>
            </w:pPr>
            <w:r>
              <w:rPr>
                <w:spacing w:val="-10"/>
              </w:rPr>
              <w:t>Декабрь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pStyle w:val="45"/>
              <w:autoSpaceDE/>
              <w:jc w:val="left"/>
            </w:pPr>
            <w:r>
              <w:t xml:space="preserve">Выплаты в соответствии с п. 1 ст. 20.1 Закона </w:t>
            </w:r>
            <w:r>
              <w:rPr>
                <w:lang w:val="ru-RU"/>
              </w:rPr>
              <w:t>№</w:t>
            </w:r>
            <w:r>
              <w:t xml:space="preserve"> 125-ФЗ</w:t>
            </w: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pStyle w:val="45"/>
              <w:autoSpaceDE/>
              <w:jc w:val="left"/>
            </w:pPr>
            <w:r>
              <w:t xml:space="preserve">Из них суммы, не подлежащие обложению страховыми взносами в соответствии со ст. 20.2 Закона </w:t>
            </w:r>
            <w:r>
              <w:rPr>
                <w:lang w:val="ru-RU"/>
              </w:rPr>
              <w:t>№</w:t>
            </w:r>
            <w:r>
              <w:t xml:space="preserve"> 125-ФЗ</w:t>
            </w: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pStyle w:val="45"/>
              <w:autoSpaceDE/>
              <w:jc w:val="left"/>
            </w:pPr>
            <w:r>
              <w:t>База для начисления страховых взносов в СФР</w:t>
            </w: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nil"/>
              <w:right w:val="single" w:color="auto" w:sz="6" w:space="0"/>
            </w:tcBorders>
          </w:tcPr>
          <w:p>
            <w:pPr>
              <w:pStyle w:val="44"/>
              <w:jc w:val="left"/>
              <w:rPr>
                <w:rFonts w:ascii="Times New Roman" w:hAnsi="Times New Roman" w:cs="Times New Roman"/>
                <w:sz w:val="24"/>
                <w:szCs w:val="24"/>
              </w:rPr>
            </w:pP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restart"/>
            <w:tcBorders>
              <w:top w:val="single" w:color="auto" w:sz="6" w:space="0"/>
              <w:left w:val="single" w:color="auto" w:sz="6" w:space="0"/>
              <w:bottom w:val="nil"/>
              <w:right w:val="single" w:color="auto" w:sz="6" w:space="0"/>
            </w:tcBorders>
          </w:tcPr>
          <w:p>
            <w:pPr>
              <w:pStyle w:val="45"/>
              <w:autoSpaceDE/>
              <w:jc w:val="left"/>
            </w:pPr>
            <w:r>
              <w:t>Начислено страховых взносов в СФР</w:t>
            </w: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за месяц</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vMerge w:val="continue"/>
            <w:tcBorders>
              <w:top w:val="nil"/>
              <w:left w:val="single" w:color="auto" w:sz="6" w:space="0"/>
              <w:bottom w:val="single" w:color="auto" w:sz="6" w:space="0"/>
              <w:right w:val="single" w:color="auto" w:sz="6" w:space="0"/>
            </w:tcBorders>
          </w:tcPr>
          <w:p>
            <w:pPr>
              <w:pStyle w:val="44"/>
              <w:jc w:val="left"/>
              <w:rPr>
                <w:rFonts w:ascii="Times New Roman" w:hAnsi="Times New Roman" w:cs="Times New Roman"/>
                <w:sz w:val="24"/>
                <w:szCs w:val="24"/>
              </w:rPr>
            </w:pPr>
          </w:p>
        </w:tc>
        <w:tc>
          <w:tcPr>
            <w:tcW w:w="1271" w:type="dxa"/>
            <w:tcBorders>
              <w:top w:val="single" w:color="auto" w:sz="6" w:space="0"/>
              <w:left w:val="single" w:color="auto" w:sz="6" w:space="0"/>
              <w:bottom w:val="single" w:color="auto" w:sz="6" w:space="0"/>
              <w:right w:val="single" w:color="auto" w:sz="6" w:space="0"/>
            </w:tcBorders>
          </w:tcPr>
          <w:p>
            <w:pPr>
              <w:pStyle w:val="45"/>
              <w:autoSpaceDE/>
              <w:jc w:val="left"/>
            </w:pPr>
            <w:r>
              <w:t>с начала года</w:t>
            </w: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39" w:type="dxa"/>
            <w:tcBorders>
              <w:top w:val="single" w:color="auto" w:sz="6" w:space="0"/>
              <w:left w:val="single" w:color="auto" w:sz="6" w:space="0"/>
              <w:bottom w:val="single" w:color="auto" w:sz="6" w:space="0"/>
              <w:right w:val="single" w:color="auto" w:sz="6" w:space="0"/>
            </w:tcBorders>
          </w:tcPr>
          <w:p>
            <w:pPr>
              <w:pStyle w:val="45"/>
              <w:autoSpaceDE/>
              <w:jc w:val="left"/>
            </w:pPr>
          </w:p>
        </w:tc>
        <w:tc>
          <w:tcPr>
            <w:tcW w:w="1040" w:type="dxa"/>
            <w:tcBorders>
              <w:top w:val="single" w:color="auto" w:sz="6" w:space="0"/>
              <w:left w:val="single" w:color="auto" w:sz="6" w:space="0"/>
              <w:bottom w:val="single" w:color="auto" w:sz="6" w:space="0"/>
              <w:right w:val="single" w:color="auto" w:sz="6" w:space="0"/>
            </w:tcBorders>
          </w:tcPr>
          <w:p>
            <w:pPr>
              <w:pStyle w:val="45"/>
              <w:autoSpaceDE/>
              <w:jc w:val="left"/>
            </w:pPr>
          </w:p>
        </w:tc>
      </w:tr>
    </w:tbl>
    <w:p>
      <w:pPr>
        <w:pStyle w:val="44"/>
        <w:rPr>
          <w:rFonts w:ascii="Times New Roman" w:hAnsi="Times New Roman" w:cs="Times New Roman"/>
          <w:sz w:val="24"/>
          <w:szCs w:val="24"/>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098"/>
        <w:gridCol w:w="1701"/>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tcBorders>
              <w:top w:val="nil"/>
              <w:left w:val="nil"/>
              <w:bottom w:val="nil"/>
              <w:right w:val="nil"/>
            </w:tcBorders>
          </w:tcPr>
          <w:p>
            <w:pPr>
              <w:pStyle w:val="45"/>
              <w:autoSpaceDE/>
              <w:jc w:val="left"/>
            </w:pPr>
            <w:r>
              <w:t>Ответственное лицо:</w:t>
            </w:r>
          </w:p>
        </w:tc>
        <w:tc>
          <w:tcPr>
            <w:tcW w:w="2098" w:type="dxa"/>
            <w:tcBorders>
              <w:top w:val="nil"/>
              <w:left w:val="nil"/>
              <w:bottom w:val="nil"/>
              <w:right w:val="nil"/>
            </w:tcBorders>
          </w:tcPr>
          <w:p>
            <w:pPr>
              <w:pStyle w:val="45"/>
              <w:autoSpaceDE/>
              <w:jc w:val="center"/>
            </w:pPr>
            <w:r>
              <w:t>_____________</w:t>
            </w:r>
          </w:p>
          <w:p>
            <w:pPr>
              <w:pStyle w:val="45"/>
              <w:autoSpaceDE/>
              <w:jc w:val="center"/>
            </w:pPr>
            <w:r>
              <w:t>(должность)</w:t>
            </w:r>
          </w:p>
        </w:tc>
        <w:tc>
          <w:tcPr>
            <w:tcW w:w="1701" w:type="dxa"/>
            <w:tcBorders>
              <w:top w:val="nil"/>
              <w:left w:val="nil"/>
              <w:bottom w:val="nil"/>
              <w:right w:val="nil"/>
            </w:tcBorders>
          </w:tcPr>
          <w:p>
            <w:pPr>
              <w:pStyle w:val="45"/>
              <w:autoSpaceDE/>
              <w:jc w:val="center"/>
            </w:pPr>
            <w:r>
              <w:t>__________</w:t>
            </w:r>
          </w:p>
          <w:p>
            <w:pPr>
              <w:pStyle w:val="45"/>
              <w:autoSpaceDE/>
              <w:jc w:val="center"/>
            </w:pPr>
            <w:r>
              <w:t>(подпись)</w:t>
            </w:r>
          </w:p>
        </w:tc>
        <w:tc>
          <w:tcPr>
            <w:tcW w:w="2721" w:type="dxa"/>
            <w:tcBorders>
              <w:top w:val="nil"/>
              <w:left w:val="nil"/>
              <w:bottom w:val="nil"/>
              <w:right w:val="nil"/>
            </w:tcBorders>
          </w:tcPr>
          <w:p>
            <w:pPr>
              <w:pStyle w:val="45"/>
              <w:autoSpaceDE/>
              <w:jc w:val="center"/>
            </w:pPr>
            <w:r>
              <w:t>___________________</w:t>
            </w:r>
          </w:p>
          <w:p>
            <w:pPr>
              <w:pStyle w:val="45"/>
              <w:autoSpaceDE/>
              <w:jc w:val="center"/>
            </w:pPr>
            <w:r>
              <w:t>(Ф.И.О.)</w:t>
            </w:r>
          </w:p>
        </w:tc>
      </w:tr>
    </w:tbl>
    <w:p>
      <w:pPr>
        <w:pStyle w:val="44"/>
        <w:rPr>
          <w:rFonts w:ascii="Times New Roman" w:hAnsi="Times New Roman" w:cs="Times New Roman"/>
          <w:sz w:val="24"/>
          <w:szCs w:val="24"/>
        </w:rPr>
      </w:pPr>
    </w:p>
    <w:sectPr>
      <w:pgSz w:w="16838" w:h="11906" w:orient="landscape"/>
      <w:pgMar w:top="567" w:right="567" w:bottom="567" w:left="567" w:header="397"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uto"/>
      <w:jc w:val="right"/>
      <w:rPr>
        <w:rFonts w:ascii="Times New Roman" w:hAnsi="Times New Roman"/>
        <w:b/>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ind w:left="20"/>
      <w:jc w:val="right"/>
      <w:rPr>
        <w:rFonts w:ascii="Times New Roman" w:hAnsi="Times New Roman"/>
        <w:b/>
        <w:sz w:val="14"/>
        <w:szCs w:val="14"/>
      </w:rPr>
    </w:pPr>
    <w:r>
      <w:rPr>
        <w:rFonts w:ascii="Times New Roman" w:hAnsi="Times New Roman"/>
        <w:sz w:val="14"/>
        <w:szCs w:val="14"/>
      </w:rPr>
      <w:t xml:space="preserve">Подготовлено с использованием системы </w:t>
    </w:r>
    <w:r>
      <w:rPr>
        <w:rFonts w:ascii="Times New Roman" w:hAnsi="Times New Roman"/>
        <w:b/>
        <w:sz w:val="14"/>
        <w:szCs w:val="14"/>
      </w:rPr>
      <w:t>КонсультантПлюс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6px;height:16px" o:bullet="t">
        <v:imagedata r:id="rId1" o:title=""/>
      </v:shape>
    </w:pict>
  </w:numPicBullet>
  <w:abstractNum w:abstractNumId="0">
    <w:nsid w:val="46A84B52"/>
    <w:multiLevelType w:val="multilevel"/>
    <w:tmpl w:val="46A84B52"/>
    <w:lvl w:ilvl="0" w:tentative="0">
      <w:start w:val="1"/>
      <w:numFmt w:val="bullet"/>
      <w:pStyle w:val="2"/>
      <w:lvlText w:val=""/>
      <w:lvlPicBulletId w:val="0"/>
      <w:lvlJc w:val="left"/>
      <w:pPr>
        <w:tabs>
          <w:tab w:val="left" w:pos="720"/>
        </w:tabs>
        <w:ind w:left="720" w:hanging="360"/>
      </w:pPr>
      <w:rPr>
        <w:rFonts w:hint="default" w:ascii="Symbol" w:hAnsi="Symbol"/>
      </w:rPr>
    </w:lvl>
    <w:lvl w:ilvl="1" w:tentative="0">
      <w:start w:val="1"/>
      <w:numFmt w:val="bullet"/>
      <w:pStyle w:val="4"/>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
    <w:nsid w:val="4F3F7700"/>
    <w:multiLevelType w:val="multilevel"/>
    <w:tmpl w:val="4F3F7700"/>
    <w:lvl w:ilvl="0" w:tentative="0">
      <w:start w:val="1"/>
      <w:numFmt w:val="decimal"/>
      <w:pStyle w:val="59"/>
      <w:suff w:val="space"/>
      <w:lvlText w:val="%1."/>
      <w:lvlJc w:val="left"/>
      <w:rPr>
        <w:rFonts w:cs="Times New Roman"/>
      </w:rPr>
    </w:lvl>
    <w:lvl w:ilvl="1" w:tentative="0">
      <w:start w:val="1"/>
      <w:numFmt w:val="decimal"/>
      <w:pStyle w:val="60"/>
      <w:suff w:val="space"/>
      <w:lvlText w:val="%1.%2."/>
      <w:lvlJc w:val="left"/>
      <w:rPr>
        <w:rFonts w:cs="Times New Roman"/>
      </w:rPr>
    </w:lvl>
    <w:lvl w:ilvl="2" w:tentative="0">
      <w:start w:val="1"/>
      <w:numFmt w:val="decimal"/>
      <w:pStyle w:val="61"/>
      <w:suff w:val="space"/>
      <w:lvlText w:val="%1.%2.%3."/>
      <w:lvlJc w:val="left"/>
      <w:rPr>
        <w:rFonts w:cs="Times New Roman"/>
      </w:rPr>
    </w:lvl>
    <w:lvl w:ilvl="3" w:tentative="0">
      <w:start w:val="1"/>
      <w:numFmt w:val="decimal"/>
      <w:pStyle w:val="62"/>
      <w:suff w:val="space"/>
      <w:lvlText w:val="%1.%2.%3.%4."/>
      <w:lvlJc w:val="left"/>
      <w:rPr>
        <w:rFonts w:cs="Times New Roman"/>
      </w:rPr>
    </w:lvl>
    <w:lvl w:ilvl="4" w:tentative="0">
      <w:start w:val="1"/>
      <w:numFmt w:val="decimal"/>
      <w:pStyle w:val="63"/>
      <w:suff w:val="space"/>
      <w:lvlText w:val="%1.%2.%3.%4.%5."/>
      <w:lvlJc w:val="left"/>
      <w:rPr>
        <w:rFonts w:cs="Times New Roman"/>
      </w:rPr>
    </w:lvl>
    <w:lvl w:ilvl="5" w:tentative="0">
      <w:start w:val="1"/>
      <w:numFmt w:val="decimal"/>
      <w:pStyle w:val="64"/>
      <w:suff w:val="space"/>
      <w:lvlText w:val="%1.%2.%3.%4.%5.%6."/>
      <w:lvlJc w:val="left"/>
      <w:rPr>
        <w:rFonts w:cs="Times New Roman"/>
      </w:rPr>
    </w:lvl>
    <w:lvl w:ilvl="6" w:tentative="0">
      <w:start w:val="1"/>
      <w:numFmt w:val="decimal"/>
      <w:pStyle w:val="65"/>
      <w:suff w:val="space"/>
      <w:lvlText w:val="%1.%2.%3.%4.%5.%6.%7."/>
      <w:lvlJc w:val="left"/>
      <w:rPr>
        <w:rFonts w:cs="Times New Roman"/>
      </w:rPr>
    </w:lvl>
    <w:lvl w:ilvl="7" w:tentative="0">
      <w:start w:val="1"/>
      <w:numFmt w:val="decimal"/>
      <w:pStyle w:val="66"/>
      <w:suff w:val="space"/>
      <w:lvlText w:val="%1.%2.%3.%4.%5.%6.%7.%8."/>
      <w:lvlJc w:val="left"/>
      <w:rPr>
        <w:rFonts w:cs="Times New Roman"/>
      </w:rPr>
    </w:lvl>
    <w:lvl w:ilvl="8" w:tentative="0">
      <w:start w:val="1"/>
      <w:numFmt w:val="decimal"/>
      <w:pStyle w:val="67"/>
      <w:suff w:val="space"/>
      <w:lvlText w:val="%1.%2.%3.%4.%5.%6.%7.%8.%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FB"/>
    <w:rsid w:val="00016C5D"/>
    <w:rsid w:val="00053B78"/>
    <w:rsid w:val="000575E9"/>
    <w:rsid w:val="00065889"/>
    <w:rsid w:val="000905BC"/>
    <w:rsid w:val="00095371"/>
    <w:rsid w:val="000A4CE5"/>
    <w:rsid w:val="000A7795"/>
    <w:rsid w:val="000B012D"/>
    <w:rsid w:val="000D1706"/>
    <w:rsid w:val="00101CA7"/>
    <w:rsid w:val="00103140"/>
    <w:rsid w:val="00121899"/>
    <w:rsid w:val="00143279"/>
    <w:rsid w:val="0016113B"/>
    <w:rsid w:val="0018283E"/>
    <w:rsid w:val="001927CB"/>
    <w:rsid w:val="001D54FE"/>
    <w:rsid w:val="001E3E9B"/>
    <w:rsid w:val="00211AAC"/>
    <w:rsid w:val="00264D31"/>
    <w:rsid w:val="00276E76"/>
    <w:rsid w:val="002A2364"/>
    <w:rsid w:val="002B6F98"/>
    <w:rsid w:val="002C110B"/>
    <w:rsid w:val="002C52EB"/>
    <w:rsid w:val="002D1D73"/>
    <w:rsid w:val="002E0FF3"/>
    <w:rsid w:val="00306AE0"/>
    <w:rsid w:val="003200CB"/>
    <w:rsid w:val="003321E5"/>
    <w:rsid w:val="00335F2A"/>
    <w:rsid w:val="00336F71"/>
    <w:rsid w:val="003452CF"/>
    <w:rsid w:val="00370A37"/>
    <w:rsid w:val="00371197"/>
    <w:rsid w:val="003C78F8"/>
    <w:rsid w:val="003D0A10"/>
    <w:rsid w:val="003D7DCA"/>
    <w:rsid w:val="0040344A"/>
    <w:rsid w:val="004066D5"/>
    <w:rsid w:val="00406E7A"/>
    <w:rsid w:val="00432FC8"/>
    <w:rsid w:val="0044131C"/>
    <w:rsid w:val="004414B2"/>
    <w:rsid w:val="00450351"/>
    <w:rsid w:val="00453118"/>
    <w:rsid w:val="00453CF9"/>
    <w:rsid w:val="004544F4"/>
    <w:rsid w:val="00466C64"/>
    <w:rsid w:val="004D1BDA"/>
    <w:rsid w:val="004D60FD"/>
    <w:rsid w:val="004E5D5F"/>
    <w:rsid w:val="004E66AF"/>
    <w:rsid w:val="00503B7C"/>
    <w:rsid w:val="00565B1D"/>
    <w:rsid w:val="005666FB"/>
    <w:rsid w:val="00584ACA"/>
    <w:rsid w:val="005B0401"/>
    <w:rsid w:val="005B057C"/>
    <w:rsid w:val="005C1798"/>
    <w:rsid w:val="005C1A97"/>
    <w:rsid w:val="0063252D"/>
    <w:rsid w:val="006330B7"/>
    <w:rsid w:val="0063527F"/>
    <w:rsid w:val="006630EF"/>
    <w:rsid w:val="0066731F"/>
    <w:rsid w:val="006C6C90"/>
    <w:rsid w:val="006D012C"/>
    <w:rsid w:val="00703304"/>
    <w:rsid w:val="00766AC3"/>
    <w:rsid w:val="00777DEB"/>
    <w:rsid w:val="00782A21"/>
    <w:rsid w:val="00787795"/>
    <w:rsid w:val="00787C15"/>
    <w:rsid w:val="0079570C"/>
    <w:rsid w:val="007E431A"/>
    <w:rsid w:val="007F6115"/>
    <w:rsid w:val="008110DC"/>
    <w:rsid w:val="00817DA0"/>
    <w:rsid w:val="00824583"/>
    <w:rsid w:val="0085236B"/>
    <w:rsid w:val="0085524D"/>
    <w:rsid w:val="00862D25"/>
    <w:rsid w:val="008757CA"/>
    <w:rsid w:val="008835C9"/>
    <w:rsid w:val="008B4C3B"/>
    <w:rsid w:val="008E34A2"/>
    <w:rsid w:val="008F10F6"/>
    <w:rsid w:val="00902941"/>
    <w:rsid w:val="009030B6"/>
    <w:rsid w:val="009034E1"/>
    <w:rsid w:val="00925B19"/>
    <w:rsid w:val="0092741A"/>
    <w:rsid w:val="00A10C4C"/>
    <w:rsid w:val="00A1411F"/>
    <w:rsid w:val="00A23D7C"/>
    <w:rsid w:val="00A26648"/>
    <w:rsid w:val="00A42162"/>
    <w:rsid w:val="00A51EE6"/>
    <w:rsid w:val="00A61B66"/>
    <w:rsid w:val="00A81BE0"/>
    <w:rsid w:val="00A9382F"/>
    <w:rsid w:val="00AA7AD8"/>
    <w:rsid w:val="00AD38F7"/>
    <w:rsid w:val="00AD5B94"/>
    <w:rsid w:val="00AF1071"/>
    <w:rsid w:val="00B024B6"/>
    <w:rsid w:val="00B268BA"/>
    <w:rsid w:val="00B33AC3"/>
    <w:rsid w:val="00B67905"/>
    <w:rsid w:val="00B86414"/>
    <w:rsid w:val="00B91878"/>
    <w:rsid w:val="00BA325E"/>
    <w:rsid w:val="00BC494D"/>
    <w:rsid w:val="00BE1BC3"/>
    <w:rsid w:val="00BF05CB"/>
    <w:rsid w:val="00BF4B19"/>
    <w:rsid w:val="00C2242F"/>
    <w:rsid w:val="00C22CDF"/>
    <w:rsid w:val="00C36AF3"/>
    <w:rsid w:val="00C819E8"/>
    <w:rsid w:val="00CA2524"/>
    <w:rsid w:val="00CA3522"/>
    <w:rsid w:val="00CC2D4E"/>
    <w:rsid w:val="00CD4629"/>
    <w:rsid w:val="00CD6340"/>
    <w:rsid w:val="00D126BA"/>
    <w:rsid w:val="00D129C7"/>
    <w:rsid w:val="00D1417C"/>
    <w:rsid w:val="00D2288C"/>
    <w:rsid w:val="00D25F17"/>
    <w:rsid w:val="00D306E0"/>
    <w:rsid w:val="00D307D0"/>
    <w:rsid w:val="00D3605E"/>
    <w:rsid w:val="00D36513"/>
    <w:rsid w:val="00D57190"/>
    <w:rsid w:val="00D57B5B"/>
    <w:rsid w:val="00D655AC"/>
    <w:rsid w:val="00D82140"/>
    <w:rsid w:val="00D84906"/>
    <w:rsid w:val="00DA2342"/>
    <w:rsid w:val="00E05F5D"/>
    <w:rsid w:val="00E20237"/>
    <w:rsid w:val="00E501F8"/>
    <w:rsid w:val="00E51A80"/>
    <w:rsid w:val="00E8776F"/>
    <w:rsid w:val="00E9744F"/>
    <w:rsid w:val="00EA1678"/>
    <w:rsid w:val="00EA2D0C"/>
    <w:rsid w:val="00EA3784"/>
    <w:rsid w:val="00ED6F7D"/>
    <w:rsid w:val="00EF12E8"/>
    <w:rsid w:val="00EF67A3"/>
    <w:rsid w:val="00F0050C"/>
    <w:rsid w:val="00F11F68"/>
    <w:rsid w:val="00F14596"/>
    <w:rsid w:val="00F2306E"/>
    <w:rsid w:val="00F2468B"/>
    <w:rsid w:val="00F85E67"/>
    <w:rsid w:val="00FA0AC6"/>
    <w:rsid w:val="00FC655C"/>
    <w:rsid w:val="00FC7BA3"/>
    <w:rsid w:val="32713E12"/>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iPriority="99"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iPriority="99" w:name="table of authorities"/>
    <w:lsdException w:unhideWhenUsed="0" w:uiPriority="99" w:semiHidden="0" w:name="macro"/>
    <w:lsdException w:unhideWhenUsed="0" w:uiPriority="99" w:semiHidden="0" w:name="toa heading"/>
    <w:lsdException w:uiPriority="99" w:name="List"/>
    <w:lsdException w:uiPriority="99"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iPriority="1" w:semiHidden="0" w:name="Body Text"/>
    <w:lsdException w:unhideWhenUsed="0" w:uiPriority="99" w:semiHidden="0" w:name="Body Text Indent"/>
    <w:lsdException w:unhideWhenUsed="0" w:uiPriority="99" w:semiHidden="0" w:name="List Continue"/>
    <w:lsdException w:uiPriority="99" w:name="List Continue 2"/>
    <w:lsdException w:uiPriority="99" w:name="List Continue 3"/>
    <w:lsdException w:uiPriority="99" w:name="List Continue 4"/>
    <w:lsdException w:uiPriority="99"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nhideWhenUsed="0" w:uiPriority="99" w:semiHidden="0" w:name="E-mail Signature"/>
    <w:lsdException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3"/>
    <w:link w:val="31"/>
    <w:qFormat/>
    <w:uiPriority w:val="1"/>
    <w:pPr>
      <w:keepNext/>
      <w:keepLines/>
      <w:numPr>
        <w:ilvl w:val="0"/>
        <w:numId w:val="1"/>
      </w:numPr>
      <w:suppressAutoHyphens/>
      <w:spacing w:before="240" w:after="120"/>
      <w:jc w:val="center"/>
      <w:outlineLvl w:val="0"/>
    </w:pPr>
    <w:rPr>
      <w:rFonts w:ascii="Times New Roman" w:hAnsi="Times New Roman"/>
      <w:b/>
      <w:bCs/>
      <w:sz w:val="24"/>
      <w:szCs w:val="28"/>
      <w:lang w:eastAsia="ar-SA"/>
    </w:rPr>
  </w:style>
  <w:style w:type="paragraph" w:styleId="4">
    <w:name w:val="heading 2"/>
    <w:basedOn w:val="1"/>
    <w:next w:val="3"/>
    <w:link w:val="32"/>
    <w:unhideWhenUsed/>
    <w:qFormat/>
    <w:uiPriority w:val="9"/>
    <w:pPr>
      <w:numPr>
        <w:ilvl w:val="1"/>
        <w:numId w:val="1"/>
      </w:numPr>
      <w:suppressAutoHyphens/>
      <w:spacing w:before="120" w:after="120"/>
      <w:jc w:val="both"/>
      <w:outlineLvl w:val="1"/>
    </w:pPr>
    <w:rPr>
      <w:rFonts w:ascii="Times New Roman" w:hAnsi="Times New Roman"/>
      <w:bCs/>
      <w:szCs w:val="26"/>
      <w:lang w:eastAsia="ar-SA"/>
    </w:rPr>
  </w:style>
  <w:style w:type="paragraph" w:styleId="5">
    <w:name w:val="heading 3"/>
    <w:basedOn w:val="1"/>
    <w:next w:val="1"/>
    <w:link w:val="33"/>
    <w:semiHidden/>
    <w:unhideWhenUsed/>
    <w:qFormat/>
    <w:uiPriority w:val="9"/>
    <w:pPr>
      <w:keepNext/>
      <w:spacing w:before="240" w:after="60" w:line="240" w:lineRule="auto"/>
      <w:outlineLvl w:val="2"/>
    </w:pPr>
    <w:rPr>
      <w:rFonts w:ascii="Arial" w:hAnsi="Arial" w:cs="Arial"/>
      <w:b/>
      <w:bCs/>
      <w:sz w:val="26"/>
      <w:szCs w:val="26"/>
      <w:lang w:eastAsia="ru-RU"/>
    </w:rPr>
  </w:style>
  <w:style w:type="paragraph" w:styleId="6">
    <w:name w:val="heading 4"/>
    <w:basedOn w:val="1"/>
    <w:next w:val="1"/>
    <w:link w:val="34"/>
    <w:semiHidden/>
    <w:unhideWhenUsed/>
    <w:qFormat/>
    <w:uiPriority w:val="9"/>
    <w:pPr>
      <w:spacing w:before="120" w:after="120"/>
      <w:ind w:firstLine="482"/>
      <w:jc w:val="both"/>
      <w:outlineLvl w:val="3"/>
    </w:pPr>
    <w:rPr>
      <w:rFonts w:ascii="Times New Roman" w:hAnsi="Times New Roman" w:cs="Calibri"/>
      <w:bCs/>
      <w:iCs/>
      <w:lang w:eastAsia="ru-RU"/>
    </w:rPr>
  </w:style>
  <w:style w:type="paragraph" w:styleId="7">
    <w:name w:val="heading 5"/>
    <w:basedOn w:val="1"/>
    <w:next w:val="1"/>
    <w:link w:val="35"/>
    <w:semiHidden/>
    <w:unhideWhenUsed/>
    <w:qFormat/>
    <w:uiPriority w:val="9"/>
    <w:pPr>
      <w:spacing w:before="240" w:after="60" w:line="240" w:lineRule="auto"/>
      <w:outlineLvl w:val="4"/>
    </w:pPr>
    <w:rPr>
      <w:rFonts w:ascii="Times New Roman" w:hAnsi="Times New Roman" w:cs="Calibri"/>
      <w:b/>
      <w:bCs/>
      <w:i/>
      <w:iCs/>
      <w:sz w:val="26"/>
      <w:szCs w:val="26"/>
      <w:lang w:eastAsia="ru-RU"/>
    </w:rPr>
  </w:style>
  <w:style w:type="paragraph" w:styleId="8">
    <w:name w:val="heading 6"/>
    <w:basedOn w:val="1"/>
    <w:next w:val="1"/>
    <w:link w:val="36"/>
    <w:semiHidden/>
    <w:unhideWhenUsed/>
    <w:qFormat/>
    <w:uiPriority w:val="9"/>
    <w:pPr>
      <w:keepNext/>
      <w:keepLines/>
      <w:spacing w:before="200" w:after="0"/>
      <w:ind w:firstLine="482"/>
      <w:jc w:val="both"/>
      <w:outlineLvl w:val="5"/>
    </w:pPr>
    <w:rPr>
      <w:rFonts w:ascii="Times New Roman" w:hAnsi="Times New Roman" w:cs="Calibri"/>
      <w:i/>
      <w:iCs/>
      <w:color w:val="243F60"/>
      <w:lang w:eastAsia="ru-RU"/>
    </w:rPr>
  </w:style>
  <w:style w:type="paragraph" w:styleId="9">
    <w:name w:val="heading 7"/>
    <w:basedOn w:val="1"/>
    <w:next w:val="1"/>
    <w:link w:val="37"/>
    <w:semiHidden/>
    <w:unhideWhenUsed/>
    <w:qFormat/>
    <w:uiPriority w:val="9"/>
    <w:pPr>
      <w:keepNext/>
      <w:keepLines/>
      <w:spacing w:before="200" w:after="0"/>
      <w:ind w:firstLine="482"/>
      <w:jc w:val="both"/>
      <w:outlineLvl w:val="6"/>
    </w:pPr>
    <w:rPr>
      <w:rFonts w:ascii="Times New Roman" w:hAnsi="Times New Roman" w:cs="Calibri"/>
      <w:i/>
      <w:iCs/>
      <w:color w:val="404040"/>
      <w:lang w:eastAsia="ru-RU"/>
    </w:rPr>
  </w:style>
  <w:style w:type="paragraph" w:styleId="10">
    <w:name w:val="heading 8"/>
    <w:basedOn w:val="1"/>
    <w:next w:val="1"/>
    <w:link w:val="38"/>
    <w:semiHidden/>
    <w:unhideWhenUsed/>
    <w:qFormat/>
    <w:uiPriority w:val="9"/>
    <w:pPr>
      <w:keepNext/>
      <w:keepLines/>
      <w:spacing w:before="200" w:after="0"/>
      <w:ind w:firstLine="482"/>
      <w:jc w:val="both"/>
      <w:outlineLvl w:val="7"/>
    </w:pPr>
    <w:rPr>
      <w:rFonts w:ascii="Times New Roman" w:hAnsi="Times New Roman" w:cs="Calibri"/>
      <w:color w:val="4F81BD"/>
      <w:szCs w:val="20"/>
      <w:lang w:eastAsia="ru-RU"/>
    </w:rPr>
  </w:style>
  <w:style w:type="paragraph" w:styleId="11">
    <w:name w:val="heading 9"/>
    <w:basedOn w:val="1"/>
    <w:next w:val="1"/>
    <w:link w:val="39"/>
    <w:semiHidden/>
    <w:unhideWhenUsed/>
    <w:qFormat/>
    <w:uiPriority w:val="9"/>
    <w:pPr>
      <w:keepNext/>
      <w:keepLines/>
      <w:spacing w:before="200" w:after="0"/>
      <w:ind w:firstLine="482"/>
      <w:jc w:val="both"/>
      <w:outlineLvl w:val="8"/>
    </w:pPr>
    <w:rPr>
      <w:rFonts w:ascii="Times New Roman" w:hAnsi="Times New Roman" w:cs="Calibri"/>
      <w:i/>
      <w:iCs/>
      <w:color w:val="404040"/>
      <w:szCs w:val="20"/>
      <w:lang w:eastAsia="ru-RU"/>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50"/>
    <w:unhideWhenUsed/>
    <w:qFormat/>
    <w:uiPriority w:val="1"/>
    <w:pPr>
      <w:spacing w:after="120" w:line="256" w:lineRule="auto"/>
    </w:pPr>
  </w:style>
  <w:style w:type="paragraph" w:styleId="12">
    <w:name w:val="Balloon Text"/>
    <w:basedOn w:val="1"/>
    <w:link w:val="54"/>
    <w:semiHidden/>
    <w:unhideWhenUsed/>
    <w:uiPriority w:val="99"/>
    <w:pPr>
      <w:spacing w:after="0" w:line="240" w:lineRule="auto"/>
    </w:pPr>
    <w:rPr>
      <w:rFonts w:ascii="Segoe UI" w:hAnsi="Segoe UI" w:cs="Segoe UI"/>
      <w:sz w:val="18"/>
      <w:szCs w:val="18"/>
    </w:rPr>
  </w:style>
  <w:style w:type="paragraph" w:styleId="13">
    <w:name w:val="Normal Indent"/>
    <w:basedOn w:val="1"/>
    <w:semiHidden/>
    <w:unhideWhenUsed/>
    <w:uiPriority w:val="99"/>
    <w:pPr>
      <w:spacing w:after="0" w:line="240" w:lineRule="auto"/>
      <w:ind w:left="708"/>
    </w:pPr>
    <w:rPr>
      <w:rFonts w:ascii="Times New Roman" w:hAnsi="Times New Roman" w:cs="Calibri"/>
      <w:sz w:val="24"/>
      <w:szCs w:val="24"/>
      <w:lang w:eastAsia="ru-RU"/>
    </w:rPr>
  </w:style>
  <w:style w:type="paragraph" w:styleId="14">
    <w:name w:val="annotation text"/>
    <w:basedOn w:val="1"/>
    <w:link w:val="51"/>
    <w:unhideWhenUsed/>
    <w:uiPriority w:val="99"/>
    <w:pPr>
      <w:spacing w:after="160" w:line="240" w:lineRule="auto"/>
    </w:pPr>
    <w:rPr>
      <w:sz w:val="20"/>
      <w:szCs w:val="20"/>
    </w:rPr>
  </w:style>
  <w:style w:type="paragraph" w:styleId="15">
    <w:name w:val="annotation subject"/>
    <w:basedOn w:val="14"/>
    <w:next w:val="14"/>
    <w:link w:val="53"/>
    <w:semiHidden/>
    <w:unhideWhenUsed/>
    <w:uiPriority w:val="99"/>
    <w:rPr>
      <w:b/>
      <w:bCs/>
    </w:rPr>
  </w:style>
  <w:style w:type="paragraph" w:styleId="16">
    <w:name w:val="Document Map"/>
    <w:basedOn w:val="1"/>
    <w:link w:val="52"/>
    <w:semiHidden/>
    <w:unhideWhenUsed/>
    <w:uiPriority w:val="99"/>
    <w:pPr>
      <w:shd w:val="clear" w:color="auto" w:fill="000080"/>
      <w:spacing w:after="160" w:line="256" w:lineRule="auto"/>
    </w:pPr>
    <w:rPr>
      <w:rFonts w:ascii="Tahoma" w:hAnsi="Tahoma" w:cs="Tahoma"/>
      <w:sz w:val="20"/>
      <w:szCs w:val="20"/>
    </w:rPr>
  </w:style>
  <w:style w:type="paragraph" w:styleId="17">
    <w:name w:val="footnote text"/>
    <w:basedOn w:val="1"/>
    <w:link w:val="70"/>
    <w:semiHidden/>
    <w:unhideWhenUsed/>
    <w:uiPriority w:val="99"/>
    <w:pPr>
      <w:spacing w:before="120" w:after="120" w:line="216" w:lineRule="auto"/>
      <w:ind w:firstLine="482"/>
      <w:jc w:val="both"/>
    </w:pPr>
    <w:rPr>
      <w:rFonts w:ascii="Times New Roman" w:hAnsi="Times New Roman" w:cs="Calibri"/>
      <w:sz w:val="20"/>
      <w:szCs w:val="20"/>
      <w:lang w:eastAsia="ru-RU"/>
    </w:rPr>
  </w:style>
  <w:style w:type="paragraph" w:styleId="18">
    <w:name w:val="header"/>
    <w:basedOn w:val="1"/>
    <w:link w:val="40"/>
    <w:unhideWhenUsed/>
    <w:uiPriority w:val="99"/>
    <w:pPr>
      <w:tabs>
        <w:tab w:val="center" w:pos="4677"/>
        <w:tab w:val="right" w:pos="9355"/>
      </w:tabs>
    </w:pPr>
  </w:style>
  <w:style w:type="paragraph" w:styleId="19">
    <w:name w:val="toc 1"/>
    <w:basedOn w:val="1"/>
    <w:next w:val="1"/>
    <w:semiHidden/>
    <w:unhideWhenUsed/>
    <w:uiPriority w:val="39"/>
    <w:pPr>
      <w:spacing w:after="0" w:line="240" w:lineRule="auto"/>
    </w:pPr>
    <w:rPr>
      <w:rFonts w:ascii="Times New Roman" w:hAnsi="Times New Roman" w:cs="Calibri"/>
      <w:sz w:val="24"/>
      <w:szCs w:val="24"/>
      <w:lang w:eastAsia="ru-RU"/>
    </w:rPr>
  </w:style>
  <w:style w:type="paragraph" w:styleId="20">
    <w:name w:val="footer"/>
    <w:basedOn w:val="1"/>
    <w:link w:val="41"/>
    <w:unhideWhenUsed/>
    <w:qFormat/>
    <w:uiPriority w:val="99"/>
    <w:pPr>
      <w:tabs>
        <w:tab w:val="center" w:pos="4677"/>
        <w:tab w:val="right" w:pos="9355"/>
      </w:tabs>
    </w:pPr>
  </w:style>
  <w:style w:type="paragraph" w:styleId="21">
    <w:name w:val="Normal (Web)"/>
    <w:basedOn w:val="1"/>
    <w:unhideWhenUsed/>
    <w:uiPriority w:val="99"/>
    <w:pPr>
      <w:spacing w:before="100" w:beforeAutospacing="1" w:after="100" w:afterAutospacing="1" w:line="240" w:lineRule="auto"/>
    </w:pPr>
    <w:rPr>
      <w:rFonts w:ascii="Times New Roman" w:hAnsi="Times New Roman"/>
      <w:sz w:val="24"/>
      <w:szCs w:val="24"/>
      <w:lang w:eastAsia="ru-RU"/>
    </w:rPr>
  </w:style>
  <w:style w:type="paragraph" w:styleId="22">
    <w:name w:val="Subtitle"/>
    <w:basedOn w:val="1"/>
    <w:next w:val="1"/>
    <w:link w:val="83"/>
    <w:qFormat/>
    <w:uiPriority w:val="11"/>
    <w:pPr>
      <w:spacing w:before="120" w:after="120"/>
      <w:ind w:firstLine="482"/>
      <w:jc w:val="both"/>
    </w:pPr>
    <w:rPr>
      <w:rFonts w:ascii="Times New Roman" w:hAnsi="Times New Roman" w:cs="Calibri"/>
      <w:i/>
      <w:iCs/>
      <w:color w:val="4F81BD"/>
      <w:spacing w:val="15"/>
      <w:sz w:val="24"/>
      <w:szCs w:val="24"/>
      <w:lang w:eastAsia="ru-RU"/>
    </w:rPr>
  </w:style>
  <w:style w:type="character" w:styleId="24">
    <w:name w:val="FollowedHyperlink"/>
    <w:basedOn w:val="23"/>
    <w:semiHidden/>
    <w:unhideWhenUsed/>
    <w:uiPriority w:val="99"/>
    <w:rPr>
      <w:rFonts w:ascii="Times New Roman" w:hAnsi="Times New Roman" w:cs="Times New Roman"/>
      <w:color w:val="954F72"/>
      <w:u w:val="single"/>
    </w:rPr>
  </w:style>
  <w:style w:type="character" w:styleId="25">
    <w:name w:val="annotation reference"/>
    <w:basedOn w:val="23"/>
    <w:semiHidden/>
    <w:unhideWhenUsed/>
    <w:uiPriority w:val="99"/>
    <w:rPr>
      <w:rFonts w:ascii="Times New Roman" w:hAnsi="Times New Roman" w:cs="Times New Roman"/>
      <w:sz w:val="16"/>
    </w:rPr>
  </w:style>
  <w:style w:type="character" w:styleId="26">
    <w:name w:val="Emphasis"/>
    <w:basedOn w:val="23"/>
    <w:qFormat/>
    <w:uiPriority w:val="20"/>
    <w:rPr>
      <w:rFonts w:ascii="Times New Roman" w:hAnsi="Times New Roman" w:cs="Times New Roman"/>
      <w:i/>
    </w:rPr>
  </w:style>
  <w:style w:type="character" w:styleId="27">
    <w:name w:val="Hyperlink"/>
    <w:basedOn w:val="23"/>
    <w:unhideWhenUsed/>
    <w:uiPriority w:val="99"/>
    <w:rPr>
      <w:rFonts w:ascii="Times New Roman" w:hAnsi="Times New Roman" w:cs="Times New Roman"/>
      <w:color w:val="0563C1"/>
      <w:u w:val="single"/>
    </w:rPr>
  </w:style>
  <w:style w:type="character" w:styleId="28">
    <w:name w:val="Strong"/>
    <w:basedOn w:val="23"/>
    <w:qFormat/>
    <w:uiPriority w:val="22"/>
    <w:rPr>
      <w:rFonts w:ascii="Times New Roman" w:hAnsi="Times New Roman" w:cs="Times New Roman"/>
      <w:b/>
    </w:rPr>
  </w:style>
  <w:style w:type="table" w:styleId="30">
    <w:name w:val="Table Grid"/>
    <w:basedOn w:val="29"/>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Заголовок 1 Знак"/>
    <w:basedOn w:val="23"/>
    <w:link w:val="2"/>
    <w:locked/>
    <w:uiPriority w:val="1"/>
    <w:rPr>
      <w:rFonts w:ascii="Times New Roman" w:hAnsi="Times New Roman" w:cs="Times New Roman"/>
      <w:b/>
      <w:bCs/>
      <w:sz w:val="28"/>
      <w:szCs w:val="28"/>
      <w:lang w:val="zh-CN" w:eastAsia="ar-SA" w:bidi="ar-SA"/>
    </w:rPr>
  </w:style>
  <w:style w:type="character" w:customStyle="1" w:styleId="32">
    <w:name w:val="Заголовок 2 Знак"/>
    <w:basedOn w:val="23"/>
    <w:link w:val="4"/>
    <w:locked/>
    <w:uiPriority w:val="9"/>
    <w:rPr>
      <w:rFonts w:ascii="Times New Roman" w:hAnsi="Times New Roman" w:cs="Times New Roman"/>
      <w:bCs/>
      <w:sz w:val="26"/>
      <w:szCs w:val="26"/>
      <w:lang w:val="zh-CN" w:eastAsia="ar-SA" w:bidi="ar-SA"/>
    </w:rPr>
  </w:style>
  <w:style w:type="character" w:customStyle="1" w:styleId="33">
    <w:name w:val="Заголовок 3 Знак"/>
    <w:basedOn w:val="23"/>
    <w:link w:val="5"/>
    <w:semiHidden/>
    <w:qFormat/>
    <w:locked/>
    <w:uiPriority w:val="9"/>
    <w:rPr>
      <w:rFonts w:ascii="Arial" w:hAnsi="Arial" w:cs="Arial"/>
      <w:b/>
      <w:bCs/>
      <w:sz w:val="26"/>
      <w:szCs w:val="26"/>
    </w:rPr>
  </w:style>
  <w:style w:type="character" w:customStyle="1" w:styleId="34">
    <w:name w:val="Заголовок 4 Знак"/>
    <w:basedOn w:val="23"/>
    <w:link w:val="6"/>
    <w:semiHidden/>
    <w:locked/>
    <w:uiPriority w:val="9"/>
    <w:rPr>
      <w:rFonts w:ascii="Times New Roman" w:hAnsi="Times New Roman" w:cs="Times New Roman"/>
      <w:bCs/>
      <w:iCs/>
      <w:sz w:val="22"/>
      <w:szCs w:val="22"/>
    </w:rPr>
  </w:style>
  <w:style w:type="character" w:customStyle="1" w:styleId="35">
    <w:name w:val="Заголовок 5 Знак"/>
    <w:basedOn w:val="23"/>
    <w:link w:val="7"/>
    <w:semiHidden/>
    <w:qFormat/>
    <w:locked/>
    <w:uiPriority w:val="9"/>
    <w:rPr>
      <w:rFonts w:ascii="Times New Roman" w:hAnsi="Times New Roman" w:cs="Times New Roman"/>
      <w:b/>
      <w:bCs/>
      <w:i/>
      <w:iCs/>
      <w:sz w:val="26"/>
      <w:szCs w:val="26"/>
    </w:rPr>
  </w:style>
  <w:style w:type="character" w:customStyle="1" w:styleId="36">
    <w:name w:val="Заголовок 6 Знак"/>
    <w:basedOn w:val="23"/>
    <w:link w:val="8"/>
    <w:semiHidden/>
    <w:qFormat/>
    <w:locked/>
    <w:uiPriority w:val="9"/>
    <w:rPr>
      <w:rFonts w:ascii="Times New Roman" w:hAnsi="Times New Roman" w:cs="Times New Roman"/>
      <w:i/>
      <w:iCs/>
      <w:color w:val="243F60"/>
      <w:sz w:val="22"/>
      <w:szCs w:val="22"/>
    </w:rPr>
  </w:style>
  <w:style w:type="character" w:customStyle="1" w:styleId="37">
    <w:name w:val="Заголовок 7 Знак"/>
    <w:basedOn w:val="23"/>
    <w:link w:val="9"/>
    <w:semiHidden/>
    <w:locked/>
    <w:uiPriority w:val="9"/>
    <w:rPr>
      <w:rFonts w:ascii="Times New Roman" w:hAnsi="Times New Roman" w:cs="Times New Roman"/>
      <w:i/>
      <w:iCs/>
      <w:color w:val="404040"/>
      <w:sz w:val="22"/>
      <w:szCs w:val="22"/>
    </w:rPr>
  </w:style>
  <w:style w:type="character" w:customStyle="1" w:styleId="38">
    <w:name w:val="Заголовок 8 Знак"/>
    <w:basedOn w:val="23"/>
    <w:link w:val="10"/>
    <w:semiHidden/>
    <w:qFormat/>
    <w:locked/>
    <w:uiPriority w:val="9"/>
    <w:rPr>
      <w:rFonts w:ascii="Times New Roman" w:hAnsi="Times New Roman" w:cs="Times New Roman"/>
      <w:color w:val="4F81BD"/>
      <w:sz w:val="22"/>
    </w:rPr>
  </w:style>
  <w:style w:type="character" w:customStyle="1" w:styleId="39">
    <w:name w:val="Заголовок 9 Знак"/>
    <w:basedOn w:val="23"/>
    <w:link w:val="11"/>
    <w:semiHidden/>
    <w:qFormat/>
    <w:locked/>
    <w:uiPriority w:val="9"/>
    <w:rPr>
      <w:rFonts w:ascii="Times New Roman" w:hAnsi="Times New Roman" w:cs="Times New Roman"/>
      <w:i/>
      <w:iCs/>
      <w:color w:val="404040"/>
      <w:sz w:val="22"/>
    </w:rPr>
  </w:style>
  <w:style w:type="character" w:customStyle="1" w:styleId="40">
    <w:name w:val="Верхний колонтитул Знак"/>
    <w:basedOn w:val="23"/>
    <w:link w:val="18"/>
    <w:qFormat/>
    <w:locked/>
    <w:uiPriority w:val="99"/>
    <w:rPr>
      <w:rFonts w:cs="Times New Roman"/>
      <w:sz w:val="22"/>
    </w:rPr>
  </w:style>
  <w:style w:type="character" w:customStyle="1" w:styleId="41">
    <w:name w:val="Нижний колонтитул Знак"/>
    <w:basedOn w:val="23"/>
    <w:link w:val="20"/>
    <w:locked/>
    <w:uiPriority w:val="99"/>
    <w:rPr>
      <w:rFonts w:cs="Times New Roman"/>
      <w:sz w:val="22"/>
    </w:rPr>
  </w:style>
  <w:style w:type="paragraph" w:customStyle="1" w:styleId="42">
    <w:name w:val="ConsPlusNonformat"/>
    <w:uiPriority w:val="99"/>
    <w:pPr>
      <w:widowControl w:val="0"/>
      <w:autoSpaceDE w:val="0"/>
      <w:autoSpaceDN w:val="0"/>
    </w:pPr>
    <w:rPr>
      <w:rFonts w:ascii="Courier New" w:hAnsi="Courier New" w:eastAsia="Times New Roman" w:cs="Courier New"/>
      <w:lang w:val="ru-RU" w:eastAsia="ru-RU" w:bidi="ar-SA"/>
    </w:rPr>
  </w:style>
  <w:style w:type="paragraph" w:customStyle="1" w:styleId="43">
    <w:name w:val="Normal unindented"/>
    <w:qFormat/>
    <w:uiPriority w:val="0"/>
    <w:pPr>
      <w:spacing w:before="120" w:after="120" w:line="276" w:lineRule="auto"/>
      <w:jc w:val="both"/>
    </w:pPr>
    <w:rPr>
      <w:rFonts w:ascii="Times New Roman" w:hAnsi="Times New Roman" w:eastAsia="Times New Roman" w:cs="Times New Roman"/>
      <w:sz w:val="22"/>
      <w:szCs w:val="22"/>
      <w:lang w:val="ru-RU" w:eastAsia="ru-RU" w:bidi="ar-SA"/>
    </w:rPr>
  </w:style>
  <w:style w:type="paragraph" w:customStyle="1" w:styleId="44">
    <w:name w:val="ConsNormal"/>
    <w:link w:val="49"/>
    <w:uiPriority w:val="0"/>
    <w:pPr>
      <w:autoSpaceDE w:val="0"/>
      <w:autoSpaceDN w:val="0"/>
      <w:adjustRightInd w:val="0"/>
      <w:jc w:val="both"/>
    </w:pPr>
    <w:rPr>
      <w:rFonts w:ascii="Courier New" w:hAnsi="Courier New" w:eastAsia="Times New Roman" w:cs="Courier New"/>
      <w:lang w:val="ru-RU" w:eastAsia="ru-RU" w:bidi="ar-SA"/>
    </w:rPr>
  </w:style>
  <w:style w:type="paragraph" w:customStyle="1" w:styleId="45">
    <w:name w:val="ConsDTNormal"/>
    <w:link w:val="96"/>
    <w:uiPriority w:val="99"/>
    <w:pPr>
      <w:autoSpaceDE w:val="0"/>
      <w:autoSpaceDN w:val="0"/>
      <w:adjustRightInd w:val="0"/>
      <w:jc w:val="both"/>
    </w:pPr>
    <w:rPr>
      <w:rFonts w:ascii="Times New Roman" w:hAnsi="Times New Roman" w:eastAsia="Times New Roman" w:cs="Times New Roman"/>
      <w:sz w:val="24"/>
      <w:szCs w:val="24"/>
      <w:lang w:val="ru-RU" w:eastAsia="ru-RU" w:bidi="ar-SA"/>
    </w:rPr>
  </w:style>
  <w:style w:type="paragraph" w:customStyle="1" w:styleId="46">
    <w:name w:val="ConsNonformat"/>
    <w:link w:val="97"/>
    <w:uiPriority w:val="99"/>
    <w:pPr>
      <w:autoSpaceDE w:val="0"/>
      <w:autoSpaceDN w:val="0"/>
      <w:adjustRightInd w:val="0"/>
      <w:jc w:val="both"/>
    </w:pPr>
    <w:rPr>
      <w:rFonts w:ascii="Courier New" w:hAnsi="Courier New" w:eastAsia="Times New Roman" w:cs="Courier New"/>
      <w:lang w:val="ru-RU" w:eastAsia="ru-RU" w:bidi="ar-SA"/>
    </w:rPr>
  </w:style>
  <w:style w:type="paragraph" w:customStyle="1" w:styleId="47">
    <w:name w:val="ConsPlusNormal"/>
    <w:uiPriority w:val="0"/>
    <w:pPr>
      <w:widowControl w:val="0"/>
      <w:autoSpaceDE w:val="0"/>
      <w:autoSpaceDN w:val="0"/>
    </w:pPr>
    <w:rPr>
      <w:rFonts w:ascii="Arial" w:hAnsi="Arial" w:eastAsia="Times New Roman" w:cs="Arial"/>
      <w:szCs w:val="22"/>
      <w:lang w:val="ru-RU" w:eastAsia="ru-RU" w:bidi="ar-SA"/>
    </w:rPr>
  </w:style>
  <w:style w:type="paragraph" w:customStyle="1" w:styleId="48">
    <w:name w:val="ConsDTNonformat"/>
    <w:uiPriority w:val="99"/>
    <w:pPr>
      <w:autoSpaceDE w:val="0"/>
      <w:autoSpaceDN w:val="0"/>
      <w:adjustRightInd w:val="0"/>
      <w:jc w:val="both"/>
    </w:pPr>
    <w:rPr>
      <w:rFonts w:ascii="Courier New" w:hAnsi="Courier New" w:eastAsia="Times New Roman" w:cs="Courier New"/>
      <w:sz w:val="22"/>
      <w:szCs w:val="22"/>
      <w:lang w:val="ru-RU" w:eastAsia="en-US" w:bidi="ar-SA"/>
    </w:rPr>
  </w:style>
  <w:style w:type="character" w:customStyle="1" w:styleId="49">
    <w:name w:val="ConsNormal Знак"/>
    <w:link w:val="44"/>
    <w:locked/>
    <w:uiPriority w:val="0"/>
    <w:rPr>
      <w:rFonts w:ascii="Courier New" w:hAnsi="Courier New"/>
    </w:rPr>
  </w:style>
  <w:style w:type="character" w:customStyle="1" w:styleId="50">
    <w:name w:val="Основной текст Знак"/>
    <w:basedOn w:val="23"/>
    <w:link w:val="3"/>
    <w:locked/>
    <w:uiPriority w:val="1"/>
    <w:rPr>
      <w:rFonts w:cs="Times New Roman"/>
      <w:sz w:val="22"/>
      <w:szCs w:val="22"/>
      <w:lang w:val="zh-CN" w:eastAsia="en-US"/>
    </w:rPr>
  </w:style>
  <w:style w:type="character" w:customStyle="1" w:styleId="51">
    <w:name w:val="Текст примечания Знак"/>
    <w:basedOn w:val="23"/>
    <w:link w:val="14"/>
    <w:locked/>
    <w:uiPriority w:val="99"/>
    <w:rPr>
      <w:rFonts w:cs="Times New Roman"/>
      <w:lang w:val="zh-CN" w:eastAsia="en-US"/>
    </w:rPr>
  </w:style>
  <w:style w:type="character" w:customStyle="1" w:styleId="52">
    <w:name w:val="Схема документа Знак"/>
    <w:basedOn w:val="23"/>
    <w:link w:val="16"/>
    <w:semiHidden/>
    <w:locked/>
    <w:uiPriority w:val="99"/>
    <w:rPr>
      <w:rFonts w:ascii="Tahoma" w:hAnsi="Tahoma" w:cs="Tahoma"/>
      <w:shd w:val="clear" w:color="auto" w:fill="000080"/>
      <w:lang w:val="zh-CN" w:eastAsia="en-US"/>
    </w:rPr>
  </w:style>
  <w:style w:type="character" w:customStyle="1" w:styleId="53">
    <w:name w:val="Тема примечания Знак"/>
    <w:basedOn w:val="51"/>
    <w:link w:val="15"/>
    <w:semiHidden/>
    <w:locked/>
    <w:uiPriority w:val="99"/>
    <w:rPr>
      <w:rFonts w:cs="Times New Roman"/>
      <w:b/>
      <w:bCs/>
      <w:lang w:val="zh-CN" w:eastAsia="en-US"/>
    </w:rPr>
  </w:style>
  <w:style w:type="character" w:customStyle="1" w:styleId="54">
    <w:name w:val="Текст выноски Знак"/>
    <w:basedOn w:val="23"/>
    <w:link w:val="12"/>
    <w:semiHidden/>
    <w:locked/>
    <w:uiPriority w:val="99"/>
    <w:rPr>
      <w:rFonts w:ascii="Segoe UI" w:hAnsi="Segoe UI" w:cs="Segoe UI"/>
      <w:sz w:val="18"/>
      <w:szCs w:val="18"/>
      <w:lang w:val="zh-CN" w:eastAsia="en-US"/>
    </w:rPr>
  </w:style>
  <w:style w:type="paragraph" w:customStyle="1" w:styleId="55">
    <w:name w:val="Revision"/>
    <w:semiHidden/>
    <w:uiPriority w:val="99"/>
    <w:rPr>
      <w:rFonts w:ascii="Calibri" w:hAnsi="Calibri" w:eastAsia="Times New Roman" w:cs="Times New Roman"/>
      <w:sz w:val="22"/>
      <w:szCs w:val="22"/>
      <w:lang w:val="ru-RU" w:eastAsia="ru-RU" w:bidi="ar-SA"/>
    </w:rPr>
  </w:style>
  <w:style w:type="paragraph" w:styleId="56">
    <w:name w:val="List Paragraph"/>
    <w:basedOn w:val="1"/>
    <w:qFormat/>
    <w:uiPriority w:val="1"/>
    <w:pPr>
      <w:ind w:left="720"/>
      <w:contextualSpacing/>
    </w:pPr>
  </w:style>
  <w:style w:type="paragraph" w:customStyle="1" w:styleId="57">
    <w:name w:val="Обычный (веб)1"/>
    <w:basedOn w:val="1"/>
    <w:uiPriority w:val="99"/>
    <w:pPr>
      <w:suppressAutoHyphens/>
      <w:spacing w:before="100" w:after="100" w:line="100" w:lineRule="atLeast"/>
    </w:pPr>
    <w:rPr>
      <w:rFonts w:ascii="Times New Roman" w:hAnsi="Times New Roman"/>
      <w:sz w:val="24"/>
      <w:szCs w:val="24"/>
      <w:lang w:eastAsia="ar-SA"/>
    </w:rPr>
  </w:style>
  <w:style w:type="paragraph" w:customStyle="1" w:styleId="58">
    <w:name w:val="Абзац списка1"/>
    <w:basedOn w:val="1"/>
    <w:uiPriority w:val="99"/>
    <w:pPr>
      <w:suppressAutoHyphens/>
      <w:ind w:left="720"/>
    </w:pPr>
    <w:rPr>
      <w:lang w:eastAsia="ar-SA"/>
    </w:rPr>
  </w:style>
  <w:style w:type="paragraph" w:customStyle="1" w:styleId="59">
    <w:name w:val="heading 1 normal"/>
    <w:basedOn w:val="1"/>
    <w:next w:val="1"/>
    <w:qFormat/>
    <w:uiPriority w:val="9"/>
    <w:pPr>
      <w:numPr>
        <w:ilvl w:val="0"/>
        <w:numId w:val="2"/>
      </w:numPr>
      <w:spacing w:before="120" w:after="120"/>
      <w:jc w:val="both"/>
      <w:outlineLvl w:val="0"/>
    </w:pPr>
    <w:rPr>
      <w:rFonts w:ascii="Times New Roman" w:hAnsi="Times New Roman"/>
      <w:lang w:eastAsia="ru-RU"/>
    </w:rPr>
  </w:style>
  <w:style w:type="paragraph" w:customStyle="1" w:styleId="60">
    <w:name w:val="heading 2 normal"/>
    <w:basedOn w:val="1"/>
    <w:next w:val="1"/>
    <w:qFormat/>
    <w:uiPriority w:val="9"/>
    <w:pPr>
      <w:numPr>
        <w:ilvl w:val="1"/>
        <w:numId w:val="2"/>
      </w:numPr>
      <w:spacing w:before="120" w:after="120"/>
      <w:ind w:firstLine="482"/>
      <w:jc w:val="both"/>
      <w:outlineLvl w:val="1"/>
    </w:pPr>
    <w:rPr>
      <w:rFonts w:ascii="Times New Roman" w:hAnsi="Times New Roman"/>
      <w:lang w:eastAsia="ru-RU"/>
    </w:rPr>
  </w:style>
  <w:style w:type="paragraph" w:customStyle="1" w:styleId="61">
    <w:name w:val="heading 3 normal"/>
    <w:basedOn w:val="1"/>
    <w:next w:val="1"/>
    <w:qFormat/>
    <w:uiPriority w:val="9"/>
    <w:pPr>
      <w:numPr>
        <w:ilvl w:val="2"/>
        <w:numId w:val="2"/>
      </w:numPr>
      <w:spacing w:before="120" w:after="120"/>
      <w:ind w:firstLine="482"/>
      <w:jc w:val="both"/>
      <w:outlineLvl w:val="2"/>
    </w:pPr>
    <w:rPr>
      <w:rFonts w:ascii="Times New Roman" w:hAnsi="Times New Roman"/>
      <w:lang w:eastAsia="ru-RU"/>
    </w:rPr>
  </w:style>
  <w:style w:type="paragraph" w:customStyle="1" w:styleId="62">
    <w:name w:val="heading 4 normal"/>
    <w:basedOn w:val="1"/>
    <w:next w:val="1"/>
    <w:qFormat/>
    <w:uiPriority w:val="9"/>
    <w:pPr>
      <w:numPr>
        <w:ilvl w:val="3"/>
        <w:numId w:val="2"/>
      </w:numPr>
      <w:spacing w:before="120" w:after="120"/>
      <w:ind w:firstLine="482"/>
      <w:jc w:val="both"/>
      <w:outlineLvl w:val="3"/>
    </w:pPr>
    <w:rPr>
      <w:rFonts w:ascii="Times New Roman" w:hAnsi="Times New Roman"/>
      <w:lang w:eastAsia="ru-RU"/>
    </w:rPr>
  </w:style>
  <w:style w:type="paragraph" w:customStyle="1" w:styleId="63">
    <w:name w:val="heading 5 normal"/>
    <w:basedOn w:val="1"/>
    <w:next w:val="1"/>
    <w:qFormat/>
    <w:uiPriority w:val="9"/>
    <w:pPr>
      <w:numPr>
        <w:ilvl w:val="4"/>
        <w:numId w:val="2"/>
      </w:numPr>
      <w:spacing w:before="120" w:after="120"/>
      <w:ind w:firstLine="482"/>
      <w:jc w:val="both"/>
      <w:outlineLvl w:val="4"/>
    </w:pPr>
    <w:rPr>
      <w:rFonts w:ascii="Times New Roman" w:hAnsi="Times New Roman"/>
      <w:lang w:eastAsia="ru-RU"/>
    </w:rPr>
  </w:style>
  <w:style w:type="paragraph" w:customStyle="1" w:styleId="64">
    <w:name w:val="heading 6 normal"/>
    <w:basedOn w:val="1"/>
    <w:next w:val="1"/>
    <w:qFormat/>
    <w:uiPriority w:val="9"/>
    <w:pPr>
      <w:numPr>
        <w:ilvl w:val="5"/>
        <w:numId w:val="2"/>
      </w:numPr>
      <w:spacing w:before="120" w:after="120"/>
      <w:ind w:firstLine="482"/>
      <w:jc w:val="both"/>
      <w:outlineLvl w:val="5"/>
    </w:pPr>
    <w:rPr>
      <w:rFonts w:ascii="Times New Roman" w:hAnsi="Times New Roman"/>
      <w:lang w:eastAsia="ru-RU"/>
    </w:rPr>
  </w:style>
  <w:style w:type="paragraph" w:customStyle="1" w:styleId="65">
    <w:name w:val="heading 7 normal"/>
    <w:basedOn w:val="1"/>
    <w:next w:val="1"/>
    <w:qFormat/>
    <w:uiPriority w:val="9"/>
    <w:pPr>
      <w:numPr>
        <w:ilvl w:val="6"/>
        <w:numId w:val="2"/>
      </w:numPr>
      <w:spacing w:before="120" w:after="120"/>
      <w:ind w:firstLine="482"/>
      <w:jc w:val="both"/>
      <w:outlineLvl w:val="6"/>
    </w:pPr>
    <w:rPr>
      <w:rFonts w:ascii="Times New Roman" w:hAnsi="Times New Roman"/>
      <w:lang w:eastAsia="ru-RU"/>
    </w:rPr>
  </w:style>
  <w:style w:type="paragraph" w:customStyle="1" w:styleId="66">
    <w:name w:val="heading 8 normal"/>
    <w:basedOn w:val="1"/>
    <w:next w:val="1"/>
    <w:qFormat/>
    <w:uiPriority w:val="9"/>
    <w:pPr>
      <w:numPr>
        <w:ilvl w:val="7"/>
        <w:numId w:val="2"/>
      </w:numPr>
      <w:spacing w:before="120" w:after="120"/>
      <w:ind w:firstLine="482"/>
      <w:jc w:val="both"/>
      <w:outlineLvl w:val="7"/>
    </w:pPr>
    <w:rPr>
      <w:rFonts w:ascii="Times New Roman" w:hAnsi="Times New Roman"/>
      <w:lang w:eastAsia="ru-RU"/>
    </w:rPr>
  </w:style>
  <w:style w:type="paragraph" w:customStyle="1" w:styleId="67">
    <w:name w:val="heading 9 normal"/>
    <w:basedOn w:val="1"/>
    <w:next w:val="1"/>
    <w:qFormat/>
    <w:uiPriority w:val="9"/>
    <w:pPr>
      <w:numPr>
        <w:ilvl w:val="8"/>
        <w:numId w:val="2"/>
      </w:numPr>
      <w:spacing w:before="120" w:after="120"/>
      <w:ind w:firstLine="482"/>
      <w:jc w:val="both"/>
      <w:outlineLvl w:val="8"/>
    </w:pPr>
    <w:rPr>
      <w:rFonts w:ascii="Times New Roman" w:hAnsi="Times New Roman"/>
      <w:lang w:eastAsia="ru-RU"/>
    </w:rPr>
  </w:style>
  <w:style w:type="character" w:customStyle="1" w:styleId="68">
    <w:name w:val="aref_seq"/>
    <w:uiPriority w:val="99"/>
    <w:rPr>
      <w:rFonts w:ascii="Times New Roman" w:hAnsi="Times New Roman"/>
    </w:rPr>
  </w:style>
  <w:style w:type="table" w:customStyle="1" w:styleId="69">
    <w:name w:val="Сетка таблицы1"/>
    <w:basedOn w:val="29"/>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0">
    <w:name w:val="Текст сноски Знак"/>
    <w:link w:val="17"/>
    <w:semiHidden/>
    <w:locked/>
    <w:uiPriority w:val="99"/>
    <w:rPr>
      <w:rFonts w:ascii="Times New Roman" w:hAnsi="Times New Roman"/>
    </w:rPr>
  </w:style>
  <w:style w:type="character" w:customStyle="1" w:styleId="71">
    <w:name w:val="Текст сноски Знак1"/>
    <w:basedOn w:val="23"/>
    <w:semiHidden/>
    <w:uiPriority w:val="99"/>
    <w:rPr>
      <w:rFonts w:cs="Times New Roman"/>
      <w:lang w:eastAsia="en-US"/>
    </w:rPr>
  </w:style>
  <w:style w:type="character" w:customStyle="1" w:styleId="72">
    <w:name w:val="Текст сноски Знак19"/>
    <w:basedOn w:val="23"/>
    <w:semiHidden/>
    <w:uiPriority w:val="99"/>
    <w:rPr>
      <w:rFonts w:cs="Times New Roman"/>
      <w:lang w:val="zh-CN" w:eastAsia="en-US"/>
    </w:rPr>
  </w:style>
  <w:style w:type="character" w:customStyle="1" w:styleId="73">
    <w:name w:val="Текст сноски Знак18"/>
    <w:basedOn w:val="23"/>
    <w:semiHidden/>
    <w:uiPriority w:val="99"/>
    <w:rPr>
      <w:rFonts w:cs="Times New Roman"/>
      <w:lang w:val="zh-CN" w:eastAsia="en-US"/>
    </w:rPr>
  </w:style>
  <w:style w:type="character" w:customStyle="1" w:styleId="74">
    <w:name w:val="Текст сноски Знак17"/>
    <w:basedOn w:val="23"/>
    <w:semiHidden/>
    <w:uiPriority w:val="99"/>
    <w:rPr>
      <w:rFonts w:cs="Times New Roman"/>
      <w:lang w:val="zh-CN" w:eastAsia="en-US"/>
    </w:rPr>
  </w:style>
  <w:style w:type="character" w:customStyle="1" w:styleId="75">
    <w:name w:val="Текст сноски Знак16"/>
    <w:basedOn w:val="23"/>
    <w:semiHidden/>
    <w:uiPriority w:val="99"/>
    <w:rPr>
      <w:rFonts w:cs="Times New Roman"/>
      <w:lang w:val="zh-CN" w:eastAsia="en-US"/>
    </w:rPr>
  </w:style>
  <w:style w:type="character" w:customStyle="1" w:styleId="76">
    <w:name w:val="Текст сноски Знак15"/>
    <w:basedOn w:val="23"/>
    <w:semiHidden/>
    <w:uiPriority w:val="99"/>
    <w:rPr>
      <w:rFonts w:cs="Times New Roman"/>
      <w:lang w:val="zh-CN" w:eastAsia="en-US"/>
    </w:rPr>
  </w:style>
  <w:style w:type="character" w:customStyle="1" w:styleId="77">
    <w:name w:val="Текст сноски Знак14"/>
    <w:basedOn w:val="23"/>
    <w:semiHidden/>
    <w:uiPriority w:val="99"/>
    <w:rPr>
      <w:rFonts w:cs="Times New Roman"/>
      <w:lang w:val="zh-CN" w:eastAsia="en-US"/>
    </w:rPr>
  </w:style>
  <w:style w:type="character" w:customStyle="1" w:styleId="78">
    <w:name w:val="Текст сноски Знак13"/>
    <w:basedOn w:val="23"/>
    <w:semiHidden/>
    <w:uiPriority w:val="99"/>
    <w:rPr>
      <w:rFonts w:cs="Times New Roman"/>
      <w:lang w:val="zh-CN" w:eastAsia="en-US"/>
    </w:rPr>
  </w:style>
  <w:style w:type="character" w:customStyle="1" w:styleId="79">
    <w:name w:val="Текст сноски Знак12"/>
    <w:basedOn w:val="23"/>
    <w:semiHidden/>
    <w:uiPriority w:val="99"/>
    <w:rPr>
      <w:rFonts w:cs="Times New Roman"/>
      <w:lang w:val="zh-CN" w:eastAsia="en-US"/>
    </w:rPr>
  </w:style>
  <w:style w:type="character" w:customStyle="1" w:styleId="80">
    <w:name w:val="Текст сноски Знак11"/>
    <w:basedOn w:val="23"/>
    <w:semiHidden/>
    <w:uiPriority w:val="99"/>
    <w:rPr>
      <w:rFonts w:cs="Times New Roman"/>
      <w:lang w:val="zh-CN" w:eastAsia="en-US"/>
    </w:rPr>
  </w:style>
  <w:style w:type="character" w:customStyle="1" w:styleId="81">
    <w:name w:val="Верхний колонтитул Знак1"/>
    <w:semiHidden/>
    <w:uiPriority w:val="99"/>
    <w:rPr>
      <w:rFonts w:ascii="Calibri" w:hAnsi="Calibri"/>
    </w:rPr>
  </w:style>
  <w:style w:type="character" w:customStyle="1" w:styleId="82">
    <w:name w:val="Нижний колонтитул Знак1"/>
    <w:semiHidden/>
    <w:uiPriority w:val="99"/>
    <w:rPr>
      <w:rFonts w:ascii="Calibri" w:hAnsi="Calibri"/>
    </w:rPr>
  </w:style>
  <w:style w:type="character" w:customStyle="1" w:styleId="83">
    <w:name w:val="Подзаголовок Знак"/>
    <w:basedOn w:val="23"/>
    <w:link w:val="22"/>
    <w:locked/>
    <w:uiPriority w:val="11"/>
    <w:rPr>
      <w:rFonts w:ascii="Times New Roman" w:hAnsi="Times New Roman" w:cs="Times New Roman"/>
      <w:i/>
      <w:iCs/>
      <w:color w:val="4F81BD"/>
      <w:spacing w:val="15"/>
      <w:sz w:val="24"/>
      <w:szCs w:val="24"/>
    </w:rPr>
  </w:style>
  <w:style w:type="character" w:customStyle="1" w:styleId="84">
    <w:name w:val="Схема документа Знак1"/>
    <w:semiHidden/>
    <w:uiPriority w:val="99"/>
    <w:rPr>
      <w:rFonts w:ascii="Tahoma" w:hAnsi="Tahoma"/>
      <w:sz w:val="16"/>
    </w:rPr>
  </w:style>
  <w:style w:type="character" w:customStyle="1" w:styleId="85">
    <w:name w:val="Тема примечания Знак1"/>
    <w:semiHidden/>
    <w:uiPriority w:val="99"/>
    <w:rPr>
      <w:rFonts w:ascii="Times New Roman" w:hAnsi="Times New Roman"/>
      <w:b/>
      <w:sz w:val="20"/>
      <w:lang w:val="zh-CN" w:eastAsia="ru-RU"/>
    </w:rPr>
  </w:style>
  <w:style w:type="character" w:customStyle="1" w:styleId="86">
    <w:name w:val="Текст выноски Знак1"/>
    <w:semiHidden/>
    <w:uiPriority w:val="99"/>
    <w:rPr>
      <w:rFonts w:ascii="Tahoma" w:hAnsi="Tahoma"/>
      <w:sz w:val="16"/>
    </w:rPr>
  </w:style>
  <w:style w:type="paragraph" w:styleId="87">
    <w:name w:val="No Spacing"/>
    <w:qFormat/>
    <w:uiPriority w:val="1"/>
    <w:rPr>
      <w:rFonts w:ascii="Calibri" w:hAnsi="Calibri" w:eastAsia="Times New Roman" w:cs="Calibri"/>
      <w:sz w:val="22"/>
      <w:szCs w:val="22"/>
      <w:lang w:val="ru-RU" w:eastAsia="ru-RU" w:bidi="ar-SA"/>
    </w:rPr>
  </w:style>
  <w:style w:type="paragraph" w:styleId="88">
    <w:name w:val="Quote"/>
    <w:basedOn w:val="1"/>
    <w:next w:val="1"/>
    <w:link w:val="89"/>
    <w:qFormat/>
    <w:uiPriority w:val="29"/>
    <w:pPr>
      <w:pBdr>
        <w:left w:val="single" w:color="999999" w:sz="24" w:space="10"/>
      </w:pBdr>
      <w:spacing w:before="120" w:after="0"/>
      <w:ind w:left="964"/>
      <w:jc w:val="both"/>
    </w:pPr>
    <w:rPr>
      <w:rFonts w:ascii="Times New Roman" w:hAnsi="Times New Roman" w:cs="Calibri"/>
      <w:i/>
      <w:iCs/>
      <w:color w:val="8064A2"/>
      <w:lang w:eastAsia="ru-RU"/>
    </w:rPr>
  </w:style>
  <w:style w:type="character" w:customStyle="1" w:styleId="89">
    <w:name w:val="Цитата 2 Знак"/>
    <w:basedOn w:val="23"/>
    <w:link w:val="88"/>
    <w:locked/>
    <w:uiPriority w:val="29"/>
    <w:rPr>
      <w:rFonts w:ascii="Times New Roman" w:hAnsi="Times New Roman" w:cs="Times New Roman"/>
      <w:i/>
      <w:iCs/>
      <w:color w:val="8064A2"/>
      <w:sz w:val="22"/>
      <w:szCs w:val="22"/>
    </w:rPr>
  </w:style>
  <w:style w:type="paragraph" w:styleId="90">
    <w:name w:val="Intense Quote"/>
    <w:basedOn w:val="1"/>
    <w:next w:val="1"/>
    <w:link w:val="91"/>
    <w:qFormat/>
    <w:uiPriority w:val="30"/>
    <w:pPr>
      <w:pBdr>
        <w:bottom w:val="single" w:color="4F81BD" w:sz="4" w:space="4"/>
      </w:pBdr>
      <w:spacing w:before="200" w:after="0"/>
      <w:ind w:left="936" w:right="936" w:firstLine="482"/>
      <w:jc w:val="both"/>
    </w:pPr>
    <w:rPr>
      <w:rFonts w:ascii="Times New Roman" w:hAnsi="Times New Roman" w:cs="Calibri"/>
      <w:b/>
      <w:bCs/>
      <w:i/>
      <w:iCs/>
      <w:color w:val="4F81BD"/>
      <w:lang w:eastAsia="ru-RU"/>
    </w:rPr>
  </w:style>
  <w:style w:type="character" w:customStyle="1" w:styleId="91">
    <w:name w:val="Выделенная цитата Знак"/>
    <w:basedOn w:val="23"/>
    <w:link w:val="90"/>
    <w:locked/>
    <w:uiPriority w:val="30"/>
    <w:rPr>
      <w:rFonts w:ascii="Times New Roman" w:hAnsi="Times New Roman" w:cs="Times New Roman"/>
      <w:b/>
      <w:bCs/>
      <w:i/>
      <w:iCs/>
      <w:color w:val="4F81BD"/>
      <w:sz w:val="22"/>
      <w:szCs w:val="22"/>
    </w:rPr>
  </w:style>
  <w:style w:type="character" w:customStyle="1" w:styleId="92">
    <w:name w:val="body Знак Знак"/>
    <w:link w:val="93"/>
    <w:semiHidden/>
    <w:locked/>
    <w:uiPriority w:val="0"/>
    <w:rPr>
      <w:rFonts w:ascii="Times New Roman" w:hAnsi="Times New Roman"/>
    </w:rPr>
  </w:style>
  <w:style w:type="paragraph" w:customStyle="1" w:styleId="93">
    <w:name w:val="body Знак"/>
    <w:basedOn w:val="1"/>
    <w:link w:val="92"/>
    <w:semiHidden/>
    <w:uiPriority w:val="0"/>
    <w:pPr>
      <w:overflowPunct w:val="0"/>
      <w:autoSpaceDE w:val="0"/>
      <w:autoSpaceDN w:val="0"/>
      <w:adjustRightInd w:val="0"/>
      <w:spacing w:before="120" w:after="120" w:line="240" w:lineRule="auto"/>
      <w:jc w:val="both"/>
    </w:pPr>
    <w:rPr>
      <w:rFonts w:ascii="Times New Roman" w:hAnsi="Times New Roman"/>
      <w:sz w:val="20"/>
      <w:szCs w:val="20"/>
      <w:lang w:eastAsia="ru-RU"/>
    </w:rPr>
  </w:style>
  <w:style w:type="character" w:customStyle="1" w:styleId="94">
    <w:name w:val="DeletedPlaceholder Знак"/>
    <w:link w:val="95"/>
    <w:semiHidden/>
    <w:locked/>
    <w:uiPriority w:val="29"/>
    <w:rPr>
      <w:rFonts w:ascii="Times New Roman" w:hAnsi="Times New Roman"/>
      <w:i/>
      <w:color w:val="FF3F1F"/>
    </w:rPr>
  </w:style>
  <w:style w:type="paragraph" w:customStyle="1" w:styleId="95">
    <w:name w:val="DeletedPlaceholder"/>
    <w:basedOn w:val="1"/>
    <w:next w:val="1"/>
    <w:link w:val="94"/>
    <w:semiHidden/>
    <w:qFormat/>
    <w:uiPriority w:val="29"/>
    <w:pPr>
      <w:pBdr>
        <w:left w:val="single" w:color="999999" w:sz="24" w:space="10"/>
      </w:pBdr>
      <w:spacing w:before="120" w:after="0"/>
      <w:ind w:left="964"/>
      <w:jc w:val="both"/>
    </w:pPr>
    <w:rPr>
      <w:rFonts w:ascii="Times New Roman" w:hAnsi="Times New Roman"/>
      <w:i/>
      <w:color w:val="FF3F1F"/>
      <w:sz w:val="20"/>
      <w:szCs w:val="20"/>
      <w:lang w:eastAsia="ru-RU"/>
    </w:rPr>
  </w:style>
  <w:style w:type="character" w:customStyle="1" w:styleId="96">
    <w:name w:val="ConsDTNormal Знак"/>
    <w:link w:val="45"/>
    <w:locked/>
    <w:uiPriority w:val="0"/>
    <w:rPr>
      <w:rFonts w:ascii="Times New Roman" w:hAnsi="Times New Roman"/>
      <w:sz w:val="24"/>
    </w:rPr>
  </w:style>
  <w:style w:type="character" w:customStyle="1" w:styleId="97">
    <w:name w:val="ConsNonformat Знак"/>
    <w:link w:val="46"/>
    <w:locked/>
    <w:uiPriority w:val="99"/>
    <w:rPr>
      <w:rFonts w:ascii="Courier New" w:hAnsi="Courier New"/>
    </w:rPr>
  </w:style>
  <w:style w:type="character" w:customStyle="1" w:styleId="98">
    <w:name w:val="Subtle Emphasis"/>
    <w:basedOn w:val="23"/>
    <w:qFormat/>
    <w:uiPriority w:val="19"/>
    <w:rPr>
      <w:rFonts w:ascii="Times New Roman" w:hAnsi="Times New Roman" w:cs="Times New Roman"/>
      <w:i/>
      <w:color w:val="000000"/>
    </w:rPr>
  </w:style>
  <w:style w:type="character" w:customStyle="1" w:styleId="99">
    <w:name w:val="Intense Emphasis"/>
    <w:basedOn w:val="23"/>
    <w:qFormat/>
    <w:uiPriority w:val="21"/>
    <w:rPr>
      <w:rFonts w:ascii="Times New Roman" w:hAnsi="Times New Roman" w:cs="Times New Roman"/>
      <w:b/>
      <w:i/>
      <w:color w:val="000000"/>
    </w:rPr>
  </w:style>
  <w:style w:type="character" w:customStyle="1" w:styleId="100">
    <w:name w:val="Subtle Reference"/>
    <w:basedOn w:val="23"/>
    <w:qFormat/>
    <w:uiPriority w:val="31"/>
    <w:rPr>
      <w:rFonts w:ascii="Times New Roman" w:hAnsi="Times New Roman" w:cs="Times New Roman"/>
      <w:smallCaps/>
      <w:color w:val="000000"/>
      <w:u w:val="single"/>
    </w:rPr>
  </w:style>
  <w:style w:type="character" w:customStyle="1" w:styleId="101">
    <w:name w:val="Intense Reference"/>
    <w:basedOn w:val="23"/>
    <w:qFormat/>
    <w:uiPriority w:val="32"/>
    <w:rPr>
      <w:rFonts w:ascii="Times New Roman" w:hAnsi="Times New Roman" w:cs="Times New Roman"/>
      <w:b/>
      <w:smallCaps/>
      <w:color w:val="000000"/>
      <w:spacing w:val="5"/>
      <w:u w:val="single"/>
    </w:rPr>
  </w:style>
  <w:style w:type="character" w:customStyle="1" w:styleId="102">
    <w:name w:val="Book Title"/>
    <w:basedOn w:val="23"/>
    <w:qFormat/>
    <w:uiPriority w:val="33"/>
    <w:rPr>
      <w:rFonts w:ascii="Times New Roman" w:hAnsi="Times New Roman" w:cs="Times New Roman"/>
      <w:b/>
      <w:smallCaps/>
      <w:spacing w:val="5"/>
    </w:rPr>
  </w:style>
  <w:style w:type="character" w:customStyle="1" w:styleId="103">
    <w:name w:val="Заголовок Знак"/>
    <w:locked/>
    <w:uiPriority w:val="10"/>
    <w:rPr>
      <w:rFonts w:ascii="Times New Roman" w:hAnsi="Times New Roman"/>
      <w:b/>
      <w:spacing w:val="5"/>
      <w:kern w:val="28"/>
      <w:sz w:val="52"/>
    </w:rPr>
  </w:style>
  <w:style w:type="character" w:customStyle="1" w:styleId="104">
    <w:name w:val="apple-converted-space"/>
    <w:uiPriority w:val="0"/>
  </w:style>
  <w:style w:type="character" w:customStyle="1" w:styleId="105">
    <w:name w:val="placeholder"/>
    <w:uiPriority w:val="0"/>
  </w:style>
  <w:style w:type="character" w:customStyle="1" w:styleId="106">
    <w:name w:val="Тема примечания Знак171"/>
    <w:semiHidden/>
    <w:uiPriority w:val="99"/>
    <w:rPr>
      <w:b/>
      <w:lang w:val="zh-CN" w:eastAsia="en-US"/>
    </w:rPr>
  </w:style>
  <w:style w:type="character" w:customStyle="1" w:styleId="107">
    <w:name w:val="Тема примечания Знак170"/>
    <w:semiHidden/>
    <w:uiPriority w:val="99"/>
    <w:rPr>
      <w:b/>
      <w:lang w:val="zh-CN" w:eastAsia="en-US"/>
    </w:rPr>
  </w:style>
  <w:style w:type="character" w:customStyle="1" w:styleId="108">
    <w:name w:val="Тема примечания Знак169"/>
    <w:semiHidden/>
    <w:uiPriority w:val="99"/>
    <w:rPr>
      <w:b/>
      <w:lang w:val="zh-CN" w:eastAsia="en-US"/>
    </w:rPr>
  </w:style>
  <w:style w:type="character" w:customStyle="1" w:styleId="109">
    <w:name w:val="Тема примечания Знак168"/>
    <w:semiHidden/>
    <w:uiPriority w:val="99"/>
    <w:rPr>
      <w:b/>
      <w:lang w:val="zh-CN" w:eastAsia="en-US"/>
    </w:rPr>
  </w:style>
  <w:style w:type="character" w:customStyle="1" w:styleId="110">
    <w:name w:val="Тема примечания Знак167"/>
    <w:semiHidden/>
    <w:uiPriority w:val="99"/>
    <w:rPr>
      <w:b/>
      <w:lang w:val="zh-CN" w:eastAsia="en-US"/>
    </w:rPr>
  </w:style>
  <w:style w:type="character" w:customStyle="1" w:styleId="111">
    <w:name w:val="Тема примечания Знак166"/>
    <w:semiHidden/>
    <w:uiPriority w:val="99"/>
    <w:rPr>
      <w:b/>
      <w:lang w:val="zh-CN" w:eastAsia="en-US"/>
    </w:rPr>
  </w:style>
  <w:style w:type="character" w:customStyle="1" w:styleId="112">
    <w:name w:val="Тема примечания Знак165"/>
    <w:semiHidden/>
    <w:uiPriority w:val="99"/>
    <w:rPr>
      <w:b/>
      <w:lang w:val="zh-CN" w:eastAsia="en-US"/>
    </w:rPr>
  </w:style>
  <w:style w:type="character" w:customStyle="1" w:styleId="113">
    <w:name w:val="Тема примечания Знак164"/>
    <w:semiHidden/>
    <w:uiPriority w:val="99"/>
    <w:rPr>
      <w:b/>
      <w:lang w:val="zh-CN" w:eastAsia="en-US"/>
    </w:rPr>
  </w:style>
  <w:style w:type="character" w:customStyle="1" w:styleId="114">
    <w:name w:val="Тема примечания Знак163"/>
    <w:semiHidden/>
    <w:uiPriority w:val="99"/>
    <w:rPr>
      <w:b/>
      <w:lang w:val="zh-CN" w:eastAsia="en-US"/>
    </w:rPr>
  </w:style>
  <w:style w:type="character" w:customStyle="1" w:styleId="115">
    <w:name w:val="Тема примечания Знак162"/>
    <w:semiHidden/>
    <w:uiPriority w:val="99"/>
    <w:rPr>
      <w:b/>
      <w:lang w:val="zh-CN" w:eastAsia="en-US"/>
    </w:rPr>
  </w:style>
  <w:style w:type="character" w:customStyle="1" w:styleId="116">
    <w:name w:val="Тема примечания Знак161"/>
    <w:semiHidden/>
    <w:uiPriority w:val="99"/>
    <w:rPr>
      <w:b/>
      <w:lang w:val="zh-CN" w:eastAsia="en-US"/>
    </w:rPr>
  </w:style>
  <w:style w:type="character" w:customStyle="1" w:styleId="117">
    <w:name w:val="Тема примечания Знак160"/>
    <w:semiHidden/>
    <w:uiPriority w:val="99"/>
    <w:rPr>
      <w:b/>
      <w:lang w:val="zh-CN" w:eastAsia="en-US"/>
    </w:rPr>
  </w:style>
  <w:style w:type="character" w:customStyle="1" w:styleId="118">
    <w:name w:val="Тема примечания Знак159"/>
    <w:semiHidden/>
    <w:uiPriority w:val="99"/>
    <w:rPr>
      <w:b/>
      <w:lang w:val="zh-CN" w:eastAsia="en-US"/>
    </w:rPr>
  </w:style>
  <w:style w:type="character" w:customStyle="1" w:styleId="119">
    <w:name w:val="Тема примечания Знак158"/>
    <w:semiHidden/>
    <w:uiPriority w:val="99"/>
    <w:rPr>
      <w:b/>
      <w:lang w:val="zh-CN" w:eastAsia="en-US"/>
    </w:rPr>
  </w:style>
  <w:style w:type="character" w:customStyle="1" w:styleId="120">
    <w:name w:val="Тема примечания Знак157"/>
    <w:semiHidden/>
    <w:uiPriority w:val="99"/>
    <w:rPr>
      <w:b/>
      <w:lang w:val="zh-CN" w:eastAsia="en-US"/>
    </w:rPr>
  </w:style>
  <w:style w:type="character" w:customStyle="1" w:styleId="121">
    <w:name w:val="Тема примечания Знак156"/>
    <w:semiHidden/>
    <w:uiPriority w:val="99"/>
    <w:rPr>
      <w:b/>
      <w:lang w:val="zh-CN" w:eastAsia="en-US"/>
    </w:rPr>
  </w:style>
  <w:style w:type="character" w:customStyle="1" w:styleId="122">
    <w:name w:val="Тема примечания Знак155"/>
    <w:semiHidden/>
    <w:uiPriority w:val="99"/>
    <w:rPr>
      <w:b/>
      <w:lang w:val="zh-CN" w:eastAsia="en-US"/>
    </w:rPr>
  </w:style>
  <w:style w:type="character" w:customStyle="1" w:styleId="123">
    <w:name w:val="Тема примечания Знак154"/>
    <w:semiHidden/>
    <w:uiPriority w:val="99"/>
    <w:rPr>
      <w:b/>
      <w:lang w:val="zh-CN" w:eastAsia="en-US"/>
    </w:rPr>
  </w:style>
  <w:style w:type="character" w:customStyle="1" w:styleId="124">
    <w:name w:val="Тема примечания Знак153"/>
    <w:semiHidden/>
    <w:uiPriority w:val="99"/>
    <w:rPr>
      <w:b/>
      <w:lang w:val="zh-CN" w:eastAsia="en-US"/>
    </w:rPr>
  </w:style>
  <w:style w:type="character" w:customStyle="1" w:styleId="125">
    <w:name w:val="Тема примечания Знак152"/>
    <w:semiHidden/>
    <w:uiPriority w:val="99"/>
    <w:rPr>
      <w:b/>
      <w:lang w:val="zh-CN" w:eastAsia="en-US"/>
    </w:rPr>
  </w:style>
  <w:style w:type="character" w:customStyle="1" w:styleId="126">
    <w:name w:val="Тема примечания Знак151"/>
    <w:semiHidden/>
    <w:uiPriority w:val="99"/>
    <w:rPr>
      <w:b/>
      <w:lang w:val="zh-CN" w:eastAsia="en-US"/>
    </w:rPr>
  </w:style>
  <w:style w:type="character" w:customStyle="1" w:styleId="127">
    <w:name w:val="Тема примечания Знак150"/>
    <w:semiHidden/>
    <w:uiPriority w:val="99"/>
    <w:rPr>
      <w:b/>
      <w:lang w:val="zh-CN" w:eastAsia="en-US"/>
    </w:rPr>
  </w:style>
  <w:style w:type="character" w:customStyle="1" w:styleId="128">
    <w:name w:val="Тема примечания Знак149"/>
    <w:semiHidden/>
    <w:uiPriority w:val="99"/>
    <w:rPr>
      <w:b/>
      <w:lang w:val="zh-CN" w:eastAsia="en-US"/>
    </w:rPr>
  </w:style>
  <w:style w:type="character" w:customStyle="1" w:styleId="129">
    <w:name w:val="Тема примечания Знак148"/>
    <w:semiHidden/>
    <w:uiPriority w:val="99"/>
    <w:rPr>
      <w:b/>
      <w:lang w:val="zh-CN" w:eastAsia="en-US"/>
    </w:rPr>
  </w:style>
  <w:style w:type="character" w:customStyle="1" w:styleId="130">
    <w:name w:val="Тема примечания Знак147"/>
    <w:semiHidden/>
    <w:uiPriority w:val="99"/>
    <w:rPr>
      <w:b/>
      <w:lang w:val="zh-CN" w:eastAsia="en-US"/>
    </w:rPr>
  </w:style>
  <w:style w:type="character" w:customStyle="1" w:styleId="131">
    <w:name w:val="Тема примечания Знак146"/>
    <w:semiHidden/>
    <w:uiPriority w:val="99"/>
    <w:rPr>
      <w:b/>
      <w:lang w:val="zh-CN" w:eastAsia="en-US"/>
    </w:rPr>
  </w:style>
  <w:style w:type="character" w:customStyle="1" w:styleId="132">
    <w:name w:val="Тема примечания Знак145"/>
    <w:semiHidden/>
    <w:uiPriority w:val="99"/>
    <w:rPr>
      <w:b/>
      <w:lang w:val="zh-CN" w:eastAsia="en-US"/>
    </w:rPr>
  </w:style>
  <w:style w:type="character" w:customStyle="1" w:styleId="133">
    <w:name w:val="Тема примечания Знак144"/>
    <w:semiHidden/>
    <w:uiPriority w:val="99"/>
    <w:rPr>
      <w:b/>
      <w:lang w:val="zh-CN" w:eastAsia="en-US"/>
    </w:rPr>
  </w:style>
  <w:style w:type="character" w:customStyle="1" w:styleId="134">
    <w:name w:val="Тема примечания Знак143"/>
    <w:semiHidden/>
    <w:uiPriority w:val="99"/>
    <w:rPr>
      <w:b/>
      <w:lang w:val="zh-CN" w:eastAsia="en-US"/>
    </w:rPr>
  </w:style>
  <w:style w:type="character" w:customStyle="1" w:styleId="135">
    <w:name w:val="Тема примечания Знак142"/>
    <w:semiHidden/>
    <w:uiPriority w:val="99"/>
    <w:rPr>
      <w:b/>
      <w:lang w:val="zh-CN" w:eastAsia="en-US"/>
    </w:rPr>
  </w:style>
  <w:style w:type="character" w:customStyle="1" w:styleId="136">
    <w:name w:val="Тема примечания Знак141"/>
    <w:semiHidden/>
    <w:uiPriority w:val="99"/>
    <w:rPr>
      <w:b/>
      <w:lang w:val="zh-CN" w:eastAsia="en-US"/>
    </w:rPr>
  </w:style>
  <w:style w:type="character" w:customStyle="1" w:styleId="137">
    <w:name w:val="Тема примечания Знак140"/>
    <w:semiHidden/>
    <w:uiPriority w:val="99"/>
    <w:rPr>
      <w:b/>
      <w:lang w:val="zh-CN" w:eastAsia="en-US"/>
    </w:rPr>
  </w:style>
  <w:style w:type="character" w:customStyle="1" w:styleId="138">
    <w:name w:val="Тема примечания Знак139"/>
    <w:semiHidden/>
    <w:uiPriority w:val="99"/>
    <w:rPr>
      <w:b/>
      <w:lang w:val="zh-CN" w:eastAsia="en-US"/>
    </w:rPr>
  </w:style>
  <w:style w:type="character" w:customStyle="1" w:styleId="139">
    <w:name w:val="Тема примечания Знак138"/>
    <w:semiHidden/>
    <w:uiPriority w:val="99"/>
    <w:rPr>
      <w:b/>
      <w:lang w:val="zh-CN" w:eastAsia="en-US"/>
    </w:rPr>
  </w:style>
  <w:style w:type="character" w:customStyle="1" w:styleId="140">
    <w:name w:val="Тема примечания Знак137"/>
    <w:semiHidden/>
    <w:uiPriority w:val="99"/>
    <w:rPr>
      <w:b/>
      <w:lang w:val="zh-CN" w:eastAsia="en-US"/>
    </w:rPr>
  </w:style>
  <w:style w:type="character" w:customStyle="1" w:styleId="141">
    <w:name w:val="Тема примечания Знак136"/>
    <w:semiHidden/>
    <w:uiPriority w:val="99"/>
    <w:rPr>
      <w:b/>
      <w:lang w:val="zh-CN" w:eastAsia="en-US"/>
    </w:rPr>
  </w:style>
  <w:style w:type="character" w:customStyle="1" w:styleId="142">
    <w:name w:val="Тема примечания Знак135"/>
    <w:semiHidden/>
    <w:uiPriority w:val="99"/>
    <w:rPr>
      <w:b/>
      <w:lang w:val="zh-CN" w:eastAsia="en-US"/>
    </w:rPr>
  </w:style>
  <w:style w:type="character" w:customStyle="1" w:styleId="143">
    <w:name w:val="Тема примечания Знак134"/>
    <w:semiHidden/>
    <w:uiPriority w:val="99"/>
    <w:rPr>
      <w:b/>
      <w:lang w:val="zh-CN" w:eastAsia="en-US"/>
    </w:rPr>
  </w:style>
  <w:style w:type="character" w:customStyle="1" w:styleId="144">
    <w:name w:val="Тема примечания Знак133"/>
    <w:semiHidden/>
    <w:uiPriority w:val="99"/>
    <w:rPr>
      <w:b/>
      <w:lang w:val="zh-CN" w:eastAsia="en-US"/>
    </w:rPr>
  </w:style>
  <w:style w:type="character" w:customStyle="1" w:styleId="145">
    <w:name w:val="Тема примечания Знак132"/>
    <w:semiHidden/>
    <w:uiPriority w:val="99"/>
    <w:rPr>
      <w:b/>
      <w:lang w:val="zh-CN" w:eastAsia="en-US"/>
    </w:rPr>
  </w:style>
  <w:style w:type="character" w:customStyle="1" w:styleId="146">
    <w:name w:val="Тема примечания Знак131"/>
    <w:semiHidden/>
    <w:uiPriority w:val="99"/>
    <w:rPr>
      <w:b/>
      <w:lang w:val="zh-CN" w:eastAsia="en-US"/>
    </w:rPr>
  </w:style>
  <w:style w:type="character" w:customStyle="1" w:styleId="147">
    <w:name w:val="Тема примечания Знак130"/>
    <w:semiHidden/>
    <w:uiPriority w:val="99"/>
    <w:rPr>
      <w:b/>
      <w:lang w:val="zh-CN" w:eastAsia="en-US"/>
    </w:rPr>
  </w:style>
  <w:style w:type="character" w:customStyle="1" w:styleId="148">
    <w:name w:val="Тема примечания Знак129"/>
    <w:semiHidden/>
    <w:uiPriority w:val="99"/>
    <w:rPr>
      <w:b/>
      <w:lang w:val="zh-CN" w:eastAsia="en-US"/>
    </w:rPr>
  </w:style>
  <w:style w:type="character" w:customStyle="1" w:styleId="149">
    <w:name w:val="Тема примечания Знак128"/>
    <w:semiHidden/>
    <w:uiPriority w:val="99"/>
    <w:rPr>
      <w:b/>
      <w:lang w:val="zh-CN" w:eastAsia="en-US"/>
    </w:rPr>
  </w:style>
  <w:style w:type="character" w:customStyle="1" w:styleId="150">
    <w:name w:val="Тема примечания Знак127"/>
    <w:semiHidden/>
    <w:uiPriority w:val="99"/>
    <w:rPr>
      <w:b/>
      <w:lang w:val="zh-CN" w:eastAsia="en-US"/>
    </w:rPr>
  </w:style>
  <w:style w:type="character" w:customStyle="1" w:styleId="151">
    <w:name w:val="Тема примечания Знак126"/>
    <w:semiHidden/>
    <w:uiPriority w:val="99"/>
    <w:rPr>
      <w:b/>
      <w:lang w:val="zh-CN" w:eastAsia="en-US"/>
    </w:rPr>
  </w:style>
  <w:style w:type="character" w:customStyle="1" w:styleId="152">
    <w:name w:val="Тема примечания Знак125"/>
    <w:semiHidden/>
    <w:uiPriority w:val="99"/>
    <w:rPr>
      <w:b/>
      <w:lang w:val="zh-CN" w:eastAsia="en-US"/>
    </w:rPr>
  </w:style>
  <w:style w:type="character" w:customStyle="1" w:styleId="153">
    <w:name w:val="Тема примечания Знак124"/>
    <w:semiHidden/>
    <w:uiPriority w:val="99"/>
    <w:rPr>
      <w:b/>
      <w:lang w:val="zh-CN" w:eastAsia="en-US"/>
    </w:rPr>
  </w:style>
  <w:style w:type="character" w:customStyle="1" w:styleId="154">
    <w:name w:val="Тема примечания Знак123"/>
    <w:semiHidden/>
    <w:uiPriority w:val="99"/>
    <w:rPr>
      <w:b/>
      <w:lang w:val="zh-CN" w:eastAsia="en-US"/>
    </w:rPr>
  </w:style>
  <w:style w:type="character" w:customStyle="1" w:styleId="155">
    <w:name w:val="Тема примечания Знак122"/>
    <w:semiHidden/>
    <w:uiPriority w:val="99"/>
    <w:rPr>
      <w:b/>
      <w:lang w:val="zh-CN" w:eastAsia="en-US"/>
    </w:rPr>
  </w:style>
  <w:style w:type="character" w:customStyle="1" w:styleId="156">
    <w:name w:val="Тема примечания Знак121"/>
    <w:semiHidden/>
    <w:uiPriority w:val="99"/>
    <w:rPr>
      <w:b/>
      <w:lang w:val="zh-CN" w:eastAsia="en-US"/>
    </w:rPr>
  </w:style>
  <w:style w:type="character" w:customStyle="1" w:styleId="157">
    <w:name w:val="Тема примечания Знак120"/>
    <w:semiHidden/>
    <w:uiPriority w:val="99"/>
    <w:rPr>
      <w:b/>
      <w:lang w:val="zh-CN" w:eastAsia="en-US"/>
    </w:rPr>
  </w:style>
  <w:style w:type="character" w:customStyle="1" w:styleId="158">
    <w:name w:val="Тема примечания Знак119"/>
    <w:semiHidden/>
    <w:uiPriority w:val="99"/>
    <w:rPr>
      <w:b/>
      <w:lang w:val="zh-CN" w:eastAsia="en-US"/>
    </w:rPr>
  </w:style>
  <w:style w:type="character" w:customStyle="1" w:styleId="159">
    <w:name w:val="Тема примечания Знак118"/>
    <w:semiHidden/>
    <w:uiPriority w:val="99"/>
    <w:rPr>
      <w:b/>
      <w:lang w:val="zh-CN" w:eastAsia="en-US"/>
    </w:rPr>
  </w:style>
  <w:style w:type="character" w:customStyle="1" w:styleId="160">
    <w:name w:val="Тема примечания Знак117"/>
    <w:semiHidden/>
    <w:uiPriority w:val="99"/>
    <w:rPr>
      <w:b/>
      <w:lang w:val="zh-CN" w:eastAsia="en-US"/>
    </w:rPr>
  </w:style>
  <w:style w:type="character" w:customStyle="1" w:styleId="161">
    <w:name w:val="Тема примечания Знак116"/>
    <w:semiHidden/>
    <w:uiPriority w:val="99"/>
    <w:rPr>
      <w:b/>
      <w:lang w:val="zh-CN" w:eastAsia="en-US"/>
    </w:rPr>
  </w:style>
  <w:style w:type="character" w:customStyle="1" w:styleId="162">
    <w:name w:val="Тема примечания Знак115"/>
    <w:semiHidden/>
    <w:uiPriority w:val="99"/>
    <w:rPr>
      <w:b/>
      <w:lang w:val="zh-CN" w:eastAsia="en-US"/>
    </w:rPr>
  </w:style>
  <w:style w:type="character" w:customStyle="1" w:styleId="163">
    <w:name w:val="Тема примечания Знак114"/>
    <w:semiHidden/>
    <w:uiPriority w:val="99"/>
    <w:rPr>
      <w:b/>
      <w:lang w:val="zh-CN" w:eastAsia="en-US"/>
    </w:rPr>
  </w:style>
  <w:style w:type="character" w:customStyle="1" w:styleId="164">
    <w:name w:val="Тема примечания Знак113"/>
    <w:semiHidden/>
    <w:uiPriority w:val="99"/>
    <w:rPr>
      <w:b/>
      <w:lang w:val="zh-CN" w:eastAsia="en-US"/>
    </w:rPr>
  </w:style>
  <w:style w:type="character" w:customStyle="1" w:styleId="165">
    <w:name w:val="Тема примечания Знак112"/>
    <w:semiHidden/>
    <w:uiPriority w:val="99"/>
    <w:rPr>
      <w:b/>
      <w:lang w:val="zh-CN" w:eastAsia="en-US"/>
    </w:rPr>
  </w:style>
  <w:style w:type="character" w:customStyle="1" w:styleId="166">
    <w:name w:val="Тема примечания Знак111"/>
    <w:semiHidden/>
    <w:uiPriority w:val="99"/>
    <w:rPr>
      <w:b/>
      <w:lang w:val="zh-CN" w:eastAsia="en-US"/>
    </w:rPr>
  </w:style>
  <w:style w:type="character" w:customStyle="1" w:styleId="167">
    <w:name w:val="Тема примечания Знак110"/>
    <w:semiHidden/>
    <w:uiPriority w:val="99"/>
    <w:rPr>
      <w:b/>
      <w:lang w:val="zh-CN" w:eastAsia="en-US"/>
    </w:rPr>
  </w:style>
  <w:style w:type="character" w:customStyle="1" w:styleId="168">
    <w:name w:val="Тема примечания Знак19"/>
    <w:semiHidden/>
    <w:uiPriority w:val="99"/>
    <w:rPr>
      <w:b/>
      <w:lang w:val="zh-CN" w:eastAsia="en-US"/>
    </w:rPr>
  </w:style>
  <w:style w:type="character" w:customStyle="1" w:styleId="169">
    <w:name w:val="Тема примечания Знак18"/>
    <w:semiHidden/>
    <w:uiPriority w:val="99"/>
    <w:rPr>
      <w:b/>
      <w:lang w:val="zh-CN" w:eastAsia="en-US"/>
    </w:rPr>
  </w:style>
  <w:style w:type="character" w:customStyle="1" w:styleId="170">
    <w:name w:val="Тема примечания Знак17"/>
    <w:semiHidden/>
    <w:uiPriority w:val="99"/>
    <w:rPr>
      <w:b/>
      <w:lang w:val="zh-CN" w:eastAsia="en-US"/>
    </w:rPr>
  </w:style>
  <w:style w:type="character" w:customStyle="1" w:styleId="171">
    <w:name w:val="Тема примечания Знак16"/>
    <w:semiHidden/>
    <w:uiPriority w:val="99"/>
    <w:rPr>
      <w:b/>
      <w:lang w:val="zh-CN" w:eastAsia="en-US"/>
    </w:rPr>
  </w:style>
  <w:style w:type="character" w:customStyle="1" w:styleId="172">
    <w:name w:val="Тема примечания Знак15"/>
    <w:semiHidden/>
    <w:uiPriority w:val="99"/>
    <w:rPr>
      <w:b/>
      <w:lang w:val="zh-CN" w:eastAsia="en-US"/>
    </w:rPr>
  </w:style>
  <w:style w:type="character" w:customStyle="1" w:styleId="173">
    <w:name w:val="Тема примечания Знак14"/>
    <w:semiHidden/>
    <w:uiPriority w:val="99"/>
    <w:rPr>
      <w:b/>
      <w:lang w:val="zh-CN" w:eastAsia="en-US"/>
    </w:rPr>
  </w:style>
  <w:style w:type="character" w:customStyle="1" w:styleId="174">
    <w:name w:val="Тема примечания Знак13"/>
    <w:semiHidden/>
    <w:uiPriority w:val="99"/>
    <w:rPr>
      <w:b/>
      <w:lang w:val="zh-CN" w:eastAsia="en-US"/>
    </w:rPr>
  </w:style>
  <w:style w:type="character" w:customStyle="1" w:styleId="175">
    <w:name w:val="Тема примечания Знак12"/>
    <w:semiHidden/>
    <w:uiPriority w:val="99"/>
    <w:rPr>
      <w:b/>
      <w:lang w:val="zh-CN" w:eastAsia="en-US"/>
    </w:rPr>
  </w:style>
  <w:style w:type="character" w:customStyle="1" w:styleId="176">
    <w:name w:val="Тема примечания Знак11"/>
    <w:semiHidden/>
    <w:uiPriority w:val="99"/>
    <w:rPr>
      <w:b/>
      <w:lang w:val="zh-CN" w:eastAsia="en-US"/>
    </w:rPr>
  </w:style>
  <w:style w:type="character" w:customStyle="1" w:styleId="177">
    <w:name w:val="Текст выноски Знак171"/>
    <w:semiHidden/>
    <w:uiPriority w:val="99"/>
    <w:rPr>
      <w:rFonts w:ascii="Tahoma" w:hAnsi="Tahoma"/>
      <w:sz w:val="16"/>
      <w:lang w:val="zh-CN" w:eastAsia="en-US"/>
    </w:rPr>
  </w:style>
  <w:style w:type="character" w:customStyle="1" w:styleId="178">
    <w:name w:val="Текст выноски Знак170"/>
    <w:semiHidden/>
    <w:uiPriority w:val="99"/>
    <w:rPr>
      <w:rFonts w:ascii="Tahoma" w:hAnsi="Tahoma"/>
      <w:sz w:val="16"/>
      <w:lang w:val="zh-CN" w:eastAsia="en-US"/>
    </w:rPr>
  </w:style>
  <w:style w:type="character" w:customStyle="1" w:styleId="179">
    <w:name w:val="Текст выноски Знак169"/>
    <w:semiHidden/>
    <w:uiPriority w:val="99"/>
    <w:rPr>
      <w:rFonts w:ascii="Tahoma" w:hAnsi="Tahoma"/>
      <w:sz w:val="16"/>
      <w:lang w:val="zh-CN" w:eastAsia="en-US"/>
    </w:rPr>
  </w:style>
  <w:style w:type="character" w:customStyle="1" w:styleId="180">
    <w:name w:val="Текст выноски Знак168"/>
    <w:semiHidden/>
    <w:uiPriority w:val="99"/>
    <w:rPr>
      <w:rFonts w:ascii="Tahoma" w:hAnsi="Tahoma"/>
      <w:sz w:val="16"/>
      <w:lang w:val="zh-CN" w:eastAsia="en-US"/>
    </w:rPr>
  </w:style>
  <w:style w:type="character" w:customStyle="1" w:styleId="181">
    <w:name w:val="Текст выноски Знак167"/>
    <w:semiHidden/>
    <w:uiPriority w:val="99"/>
    <w:rPr>
      <w:rFonts w:ascii="Tahoma" w:hAnsi="Tahoma"/>
      <w:sz w:val="16"/>
      <w:lang w:val="zh-CN" w:eastAsia="en-US"/>
    </w:rPr>
  </w:style>
  <w:style w:type="character" w:customStyle="1" w:styleId="182">
    <w:name w:val="Текст выноски Знак166"/>
    <w:semiHidden/>
    <w:uiPriority w:val="99"/>
    <w:rPr>
      <w:rFonts w:ascii="Tahoma" w:hAnsi="Tahoma"/>
      <w:sz w:val="16"/>
      <w:lang w:val="zh-CN" w:eastAsia="en-US"/>
    </w:rPr>
  </w:style>
  <w:style w:type="character" w:customStyle="1" w:styleId="183">
    <w:name w:val="Текст выноски Знак165"/>
    <w:semiHidden/>
    <w:uiPriority w:val="99"/>
    <w:rPr>
      <w:rFonts w:ascii="Tahoma" w:hAnsi="Tahoma"/>
      <w:sz w:val="16"/>
      <w:lang w:val="zh-CN" w:eastAsia="en-US"/>
    </w:rPr>
  </w:style>
  <w:style w:type="character" w:customStyle="1" w:styleId="184">
    <w:name w:val="Текст выноски Знак164"/>
    <w:semiHidden/>
    <w:uiPriority w:val="99"/>
    <w:rPr>
      <w:rFonts w:ascii="Tahoma" w:hAnsi="Tahoma"/>
      <w:sz w:val="16"/>
      <w:lang w:val="zh-CN" w:eastAsia="en-US"/>
    </w:rPr>
  </w:style>
  <w:style w:type="character" w:customStyle="1" w:styleId="185">
    <w:name w:val="Текст выноски Знак163"/>
    <w:semiHidden/>
    <w:uiPriority w:val="99"/>
    <w:rPr>
      <w:rFonts w:ascii="Tahoma" w:hAnsi="Tahoma"/>
      <w:sz w:val="16"/>
      <w:lang w:val="zh-CN" w:eastAsia="en-US"/>
    </w:rPr>
  </w:style>
  <w:style w:type="character" w:customStyle="1" w:styleId="186">
    <w:name w:val="Текст выноски Знак162"/>
    <w:semiHidden/>
    <w:uiPriority w:val="99"/>
    <w:rPr>
      <w:rFonts w:ascii="Tahoma" w:hAnsi="Tahoma"/>
      <w:sz w:val="16"/>
      <w:lang w:val="zh-CN" w:eastAsia="en-US"/>
    </w:rPr>
  </w:style>
  <w:style w:type="character" w:customStyle="1" w:styleId="187">
    <w:name w:val="Текст выноски Знак161"/>
    <w:semiHidden/>
    <w:uiPriority w:val="99"/>
    <w:rPr>
      <w:rFonts w:ascii="Tahoma" w:hAnsi="Tahoma"/>
      <w:sz w:val="16"/>
      <w:lang w:val="zh-CN" w:eastAsia="en-US"/>
    </w:rPr>
  </w:style>
  <w:style w:type="character" w:customStyle="1" w:styleId="188">
    <w:name w:val="Текст выноски Знак160"/>
    <w:semiHidden/>
    <w:uiPriority w:val="99"/>
    <w:rPr>
      <w:rFonts w:ascii="Tahoma" w:hAnsi="Tahoma"/>
      <w:sz w:val="16"/>
      <w:lang w:val="zh-CN" w:eastAsia="en-US"/>
    </w:rPr>
  </w:style>
  <w:style w:type="character" w:customStyle="1" w:styleId="189">
    <w:name w:val="Текст выноски Знак159"/>
    <w:semiHidden/>
    <w:uiPriority w:val="99"/>
    <w:rPr>
      <w:rFonts w:ascii="Tahoma" w:hAnsi="Tahoma"/>
      <w:sz w:val="16"/>
      <w:lang w:val="zh-CN" w:eastAsia="en-US"/>
    </w:rPr>
  </w:style>
  <w:style w:type="character" w:customStyle="1" w:styleId="190">
    <w:name w:val="Текст выноски Знак158"/>
    <w:semiHidden/>
    <w:uiPriority w:val="99"/>
    <w:rPr>
      <w:rFonts w:ascii="Tahoma" w:hAnsi="Tahoma"/>
      <w:sz w:val="16"/>
      <w:lang w:val="zh-CN" w:eastAsia="en-US"/>
    </w:rPr>
  </w:style>
  <w:style w:type="character" w:customStyle="1" w:styleId="191">
    <w:name w:val="Текст выноски Знак157"/>
    <w:semiHidden/>
    <w:uiPriority w:val="99"/>
    <w:rPr>
      <w:rFonts w:ascii="Tahoma" w:hAnsi="Tahoma"/>
      <w:sz w:val="16"/>
      <w:lang w:val="zh-CN" w:eastAsia="en-US"/>
    </w:rPr>
  </w:style>
  <w:style w:type="character" w:customStyle="1" w:styleId="192">
    <w:name w:val="Текст выноски Знак156"/>
    <w:semiHidden/>
    <w:uiPriority w:val="99"/>
    <w:rPr>
      <w:rFonts w:ascii="Tahoma" w:hAnsi="Tahoma"/>
      <w:sz w:val="16"/>
      <w:lang w:val="zh-CN" w:eastAsia="en-US"/>
    </w:rPr>
  </w:style>
  <w:style w:type="character" w:customStyle="1" w:styleId="193">
    <w:name w:val="Текст выноски Знак155"/>
    <w:semiHidden/>
    <w:uiPriority w:val="99"/>
    <w:rPr>
      <w:rFonts w:ascii="Tahoma" w:hAnsi="Tahoma"/>
      <w:sz w:val="16"/>
      <w:lang w:val="zh-CN" w:eastAsia="en-US"/>
    </w:rPr>
  </w:style>
  <w:style w:type="character" w:customStyle="1" w:styleId="194">
    <w:name w:val="Текст выноски Знак154"/>
    <w:semiHidden/>
    <w:uiPriority w:val="99"/>
    <w:rPr>
      <w:rFonts w:ascii="Tahoma" w:hAnsi="Tahoma"/>
      <w:sz w:val="16"/>
      <w:lang w:val="zh-CN" w:eastAsia="en-US"/>
    </w:rPr>
  </w:style>
  <w:style w:type="character" w:customStyle="1" w:styleId="195">
    <w:name w:val="Текст выноски Знак153"/>
    <w:semiHidden/>
    <w:uiPriority w:val="99"/>
    <w:rPr>
      <w:rFonts w:ascii="Tahoma" w:hAnsi="Tahoma"/>
      <w:sz w:val="16"/>
      <w:lang w:val="zh-CN" w:eastAsia="en-US"/>
    </w:rPr>
  </w:style>
  <w:style w:type="character" w:customStyle="1" w:styleId="196">
    <w:name w:val="Текст выноски Знак152"/>
    <w:semiHidden/>
    <w:uiPriority w:val="99"/>
    <w:rPr>
      <w:rFonts w:ascii="Tahoma" w:hAnsi="Tahoma"/>
      <w:sz w:val="16"/>
      <w:lang w:val="zh-CN" w:eastAsia="en-US"/>
    </w:rPr>
  </w:style>
  <w:style w:type="character" w:customStyle="1" w:styleId="197">
    <w:name w:val="Текст выноски Знак151"/>
    <w:semiHidden/>
    <w:uiPriority w:val="99"/>
    <w:rPr>
      <w:rFonts w:ascii="Tahoma" w:hAnsi="Tahoma"/>
      <w:sz w:val="16"/>
      <w:lang w:val="zh-CN" w:eastAsia="en-US"/>
    </w:rPr>
  </w:style>
  <w:style w:type="character" w:customStyle="1" w:styleId="198">
    <w:name w:val="Текст выноски Знак150"/>
    <w:semiHidden/>
    <w:uiPriority w:val="99"/>
    <w:rPr>
      <w:rFonts w:ascii="Tahoma" w:hAnsi="Tahoma"/>
      <w:sz w:val="16"/>
      <w:lang w:val="zh-CN" w:eastAsia="en-US"/>
    </w:rPr>
  </w:style>
  <w:style w:type="character" w:customStyle="1" w:styleId="199">
    <w:name w:val="Текст выноски Знак149"/>
    <w:semiHidden/>
    <w:uiPriority w:val="99"/>
    <w:rPr>
      <w:rFonts w:ascii="Tahoma" w:hAnsi="Tahoma"/>
      <w:sz w:val="16"/>
      <w:lang w:val="zh-CN" w:eastAsia="en-US"/>
    </w:rPr>
  </w:style>
  <w:style w:type="character" w:customStyle="1" w:styleId="200">
    <w:name w:val="Текст выноски Знак148"/>
    <w:semiHidden/>
    <w:uiPriority w:val="99"/>
    <w:rPr>
      <w:rFonts w:ascii="Tahoma" w:hAnsi="Tahoma"/>
      <w:sz w:val="16"/>
      <w:lang w:val="zh-CN" w:eastAsia="en-US"/>
    </w:rPr>
  </w:style>
  <w:style w:type="character" w:customStyle="1" w:styleId="201">
    <w:name w:val="Текст выноски Знак147"/>
    <w:semiHidden/>
    <w:uiPriority w:val="99"/>
    <w:rPr>
      <w:rFonts w:ascii="Tahoma" w:hAnsi="Tahoma"/>
      <w:sz w:val="16"/>
      <w:lang w:val="zh-CN" w:eastAsia="en-US"/>
    </w:rPr>
  </w:style>
  <w:style w:type="character" w:customStyle="1" w:styleId="202">
    <w:name w:val="Текст выноски Знак146"/>
    <w:semiHidden/>
    <w:uiPriority w:val="99"/>
    <w:rPr>
      <w:rFonts w:ascii="Tahoma" w:hAnsi="Tahoma"/>
      <w:sz w:val="16"/>
      <w:lang w:val="zh-CN" w:eastAsia="en-US"/>
    </w:rPr>
  </w:style>
  <w:style w:type="character" w:customStyle="1" w:styleId="203">
    <w:name w:val="Текст выноски Знак145"/>
    <w:semiHidden/>
    <w:uiPriority w:val="99"/>
    <w:rPr>
      <w:rFonts w:ascii="Tahoma" w:hAnsi="Tahoma"/>
      <w:sz w:val="16"/>
      <w:lang w:val="zh-CN" w:eastAsia="en-US"/>
    </w:rPr>
  </w:style>
  <w:style w:type="character" w:customStyle="1" w:styleId="204">
    <w:name w:val="Текст выноски Знак144"/>
    <w:semiHidden/>
    <w:uiPriority w:val="99"/>
    <w:rPr>
      <w:rFonts w:ascii="Tahoma" w:hAnsi="Tahoma"/>
      <w:sz w:val="16"/>
      <w:lang w:val="zh-CN" w:eastAsia="en-US"/>
    </w:rPr>
  </w:style>
  <w:style w:type="character" w:customStyle="1" w:styleId="205">
    <w:name w:val="Текст выноски Знак143"/>
    <w:semiHidden/>
    <w:uiPriority w:val="99"/>
    <w:rPr>
      <w:rFonts w:ascii="Tahoma" w:hAnsi="Tahoma"/>
      <w:sz w:val="16"/>
      <w:lang w:val="zh-CN" w:eastAsia="en-US"/>
    </w:rPr>
  </w:style>
  <w:style w:type="character" w:customStyle="1" w:styleId="206">
    <w:name w:val="Текст выноски Знак142"/>
    <w:semiHidden/>
    <w:uiPriority w:val="99"/>
    <w:rPr>
      <w:rFonts w:ascii="Tahoma" w:hAnsi="Tahoma"/>
      <w:sz w:val="16"/>
      <w:lang w:val="zh-CN" w:eastAsia="en-US"/>
    </w:rPr>
  </w:style>
  <w:style w:type="character" w:customStyle="1" w:styleId="207">
    <w:name w:val="Текст выноски Знак141"/>
    <w:semiHidden/>
    <w:uiPriority w:val="99"/>
    <w:rPr>
      <w:rFonts w:ascii="Tahoma" w:hAnsi="Tahoma"/>
      <w:sz w:val="16"/>
      <w:lang w:val="zh-CN" w:eastAsia="en-US"/>
    </w:rPr>
  </w:style>
  <w:style w:type="character" w:customStyle="1" w:styleId="208">
    <w:name w:val="Текст выноски Знак140"/>
    <w:semiHidden/>
    <w:uiPriority w:val="99"/>
    <w:rPr>
      <w:rFonts w:ascii="Tahoma" w:hAnsi="Tahoma"/>
      <w:sz w:val="16"/>
      <w:lang w:val="zh-CN" w:eastAsia="en-US"/>
    </w:rPr>
  </w:style>
  <w:style w:type="character" w:customStyle="1" w:styleId="209">
    <w:name w:val="Текст выноски Знак139"/>
    <w:semiHidden/>
    <w:uiPriority w:val="99"/>
    <w:rPr>
      <w:rFonts w:ascii="Tahoma" w:hAnsi="Tahoma"/>
      <w:sz w:val="16"/>
      <w:lang w:val="zh-CN" w:eastAsia="en-US"/>
    </w:rPr>
  </w:style>
  <w:style w:type="character" w:customStyle="1" w:styleId="210">
    <w:name w:val="Текст выноски Знак138"/>
    <w:semiHidden/>
    <w:uiPriority w:val="99"/>
    <w:rPr>
      <w:rFonts w:ascii="Tahoma" w:hAnsi="Tahoma"/>
      <w:sz w:val="16"/>
      <w:lang w:val="zh-CN" w:eastAsia="en-US"/>
    </w:rPr>
  </w:style>
  <w:style w:type="character" w:customStyle="1" w:styleId="211">
    <w:name w:val="Текст выноски Знак137"/>
    <w:semiHidden/>
    <w:uiPriority w:val="99"/>
    <w:rPr>
      <w:rFonts w:ascii="Tahoma" w:hAnsi="Tahoma"/>
      <w:sz w:val="16"/>
      <w:lang w:val="zh-CN" w:eastAsia="en-US"/>
    </w:rPr>
  </w:style>
  <w:style w:type="character" w:customStyle="1" w:styleId="212">
    <w:name w:val="Текст выноски Знак136"/>
    <w:semiHidden/>
    <w:uiPriority w:val="99"/>
    <w:rPr>
      <w:rFonts w:ascii="Tahoma" w:hAnsi="Tahoma"/>
      <w:sz w:val="16"/>
      <w:lang w:val="zh-CN" w:eastAsia="en-US"/>
    </w:rPr>
  </w:style>
  <w:style w:type="character" w:customStyle="1" w:styleId="213">
    <w:name w:val="Текст выноски Знак135"/>
    <w:semiHidden/>
    <w:uiPriority w:val="99"/>
    <w:rPr>
      <w:rFonts w:ascii="Tahoma" w:hAnsi="Tahoma"/>
      <w:sz w:val="16"/>
      <w:lang w:val="zh-CN" w:eastAsia="en-US"/>
    </w:rPr>
  </w:style>
  <w:style w:type="character" w:customStyle="1" w:styleId="214">
    <w:name w:val="Текст выноски Знак134"/>
    <w:semiHidden/>
    <w:uiPriority w:val="99"/>
    <w:rPr>
      <w:rFonts w:ascii="Tahoma" w:hAnsi="Tahoma"/>
      <w:sz w:val="16"/>
      <w:lang w:val="zh-CN" w:eastAsia="en-US"/>
    </w:rPr>
  </w:style>
  <w:style w:type="character" w:customStyle="1" w:styleId="215">
    <w:name w:val="Текст выноски Знак133"/>
    <w:semiHidden/>
    <w:uiPriority w:val="99"/>
    <w:rPr>
      <w:rFonts w:ascii="Tahoma" w:hAnsi="Tahoma"/>
      <w:sz w:val="16"/>
      <w:lang w:val="zh-CN" w:eastAsia="en-US"/>
    </w:rPr>
  </w:style>
  <w:style w:type="character" w:customStyle="1" w:styleId="216">
    <w:name w:val="Текст выноски Знак132"/>
    <w:semiHidden/>
    <w:uiPriority w:val="99"/>
    <w:rPr>
      <w:rFonts w:ascii="Tahoma" w:hAnsi="Tahoma"/>
      <w:sz w:val="16"/>
      <w:lang w:val="zh-CN" w:eastAsia="en-US"/>
    </w:rPr>
  </w:style>
  <w:style w:type="character" w:customStyle="1" w:styleId="217">
    <w:name w:val="Текст выноски Знак131"/>
    <w:semiHidden/>
    <w:uiPriority w:val="99"/>
    <w:rPr>
      <w:rFonts w:ascii="Tahoma" w:hAnsi="Tahoma"/>
      <w:sz w:val="16"/>
      <w:lang w:val="zh-CN" w:eastAsia="en-US"/>
    </w:rPr>
  </w:style>
  <w:style w:type="character" w:customStyle="1" w:styleId="218">
    <w:name w:val="Текст выноски Знак130"/>
    <w:semiHidden/>
    <w:uiPriority w:val="99"/>
    <w:rPr>
      <w:rFonts w:ascii="Tahoma" w:hAnsi="Tahoma"/>
      <w:sz w:val="16"/>
      <w:lang w:val="zh-CN" w:eastAsia="en-US"/>
    </w:rPr>
  </w:style>
  <w:style w:type="character" w:customStyle="1" w:styleId="219">
    <w:name w:val="Текст выноски Знак129"/>
    <w:semiHidden/>
    <w:uiPriority w:val="99"/>
    <w:rPr>
      <w:rFonts w:ascii="Tahoma" w:hAnsi="Tahoma"/>
      <w:sz w:val="16"/>
      <w:lang w:val="zh-CN" w:eastAsia="en-US"/>
    </w:rPr>
  </w:style>
  <w:style w:type="character" w:customStyle="1" w:styleId="220">
    <w:name w:val="Текст выноски Знак128"/>
    <w:semiHidden/>
    <w:uiPriority w:val="99"/>
    <w:rPr>
      <w:rFonts w:ascii="Tahoma" w:hAnsi="Tahoma"/>
      <w:sz w:val="16"/>
      <w:lang w:val="zh-CN" w:eastAsia="en-US"/>
    </w:rPr>
  </w:style>
  <w:style w:type="character" w:customStyle="1" w:styleId="221">
    <w:name w:val="Текст выноски Знак127"/>
    <w:semiHidden/>
    <w:uiPriority w:val="99"/>
    <w:rPr>
      <w:rFonts w:ascii="Tahoma" w:hAnsi="Tahoma"/>
      <w:sz w:val="16"/>
      <w:lang w:val="zh-CN" w:eastAsia="en-US"/>
    </w:rPr>
  </w:style>
  <w:style w:type="character" w:customStyle="1" w:styleId="222">
    <w:name w:val="Текст выноски Знак126"/>
    <w:semiHidden/>
    <w:uiPriority w:val="99"/>
    <w:rPr>
      <w:rFonts w:ascii="Tahoma" w:hAnsi="Tahoma"/>
      <w:sz w:val="16"/>
      <w:lang w:val="zh-CN" w:eastAsia="en-US"/>
    </w:rPr>
  </w:style>
  <w:style w:type="character" w:customStyle="1" w:styleId="223">
    <w:name w:val="Текст выноски Знак125"/>
    <w:semiHidden/>
    <w:uiPriority w:val="99"/>
    <w:rPr>
      <w:rFonts w:ascii="Tahoma" w:hAnsi="Tahoma"/>
      <w:sz w:val="16"/>
      <w:lang w:val="zh-CN" w:eastAsia="en-US"/>
    </w:rPr>
  </w:style>
  <w:style w:type="character" w:customStyle="1" w:styleId="224">
    <w:name w:val="Текст выноски Знак124"/>
    <w:semiHidden/>
    <w:uiPriority w:val="99"/>
    <w:rPr>
      <w:rFonts w:ascii="Tahoma" w:hAnsi="Tahoma"/>
      <w:sz w:val="16"/>
      <w:lang w:val="zh-CN" w:eastAsia="en-US"/>
    </w:rPr>
  </w:style>
  <w:style w:type="character" w:customStyle="1" w:styleId="225">
    <w:name w:val="Текст выноски Знак123"/>
    <w:semiHidden/>
    <w:uiPriority w:val="99"/>
    <w:rPr>
      <w:rFonts w:ascii="Tahoma" w:hAnsi="Tahoma"/>
      <w:sz w:val="16"/>
      <w:lang w:val="zh-CN" w:eastAsia="en-US"/>
    </w:rPr>
  </w:style>
  <w:style w:type="character" w:customStyle="1" w:styleId="226">
    <w:name w:val="Текст выноски Знак122"/>
    <w:semiHidden/>
    <w:uiPriority w:val="99"/>
    <w:rPr>
      <w:rFonts w:ascii="Tahoma" w:hAnsi="Tahoma"/>
      <w:sz w:val="16"/>
      <w:lang w:val="zh-CN" w:eastAsia="en-US"/>
    </w:rPr>
  </w:style>
  <w:style w:type="character" w:customStyle="1" w:styleId="227">
    <w:name w:val="Текст выноски Знак121"/>
    <w:semiHidden/>
    <w:uiPriority w:val="99"/>
    <w:rPr>
      <w:rFonts w:ascii="Tahoma" w:hAnsi="Tahoma"/>
      <w:sz w:val="16"/>
      <w:lang w:val="zh-CN" w:eastAsia="en-US"/>
    </w:rPr>
  </w:style>
  <w:style w:type="character" w:customStyle="1" w:styleId="228">
    <w:name w:val="Текст выноски Знак120"/>
    <w:semiHidden/>
    <w:uiPriority w:val="99"/>
    <w:rPr>
      <w:rFonts w:ascii="Tahoma" w:hAnsi="Tahoma"/>
      <w:sz w:val="16"/>
      <w:lang w:val="zh-CN" w:eastAsia="en-US"/>
    </w:rPr>
  </w:style>
  <w:style w:type="character" w:customStyle="1" w:styleId="229">
    <w:name w:val="Текст выноски Знак119"/>
    <w:semiHidden/>
    <w:uiPriority w:val="99"/>
    <w:rPr>
      <w:rFonts w:ascii="Tahoma" w:hAnsi="Tahoma"/>
      <w:sz w:val="16"/>
      <w:lang w:val="zh-CN" w:eastAsia="en-US"/>
    </w:rPr>
  </w:style>
  <w:style w:type="character" w:customStyle="1" w:styleId="230">
    <w:name w:val="Текст выноски Знак118"/>
    <w:semiHidden/>
    <w:uiPriority w:val="99"/>
    <w:rPr>
      <w:rFonts w:ascii="Tahoma" w:hAnsi="Tahoma"/>
      <w:sz w:val="16"/>
      <w:lang w:val="zh-CN" w:eastAsia="en-US"/>
    </w:rPr>
  </w:style>
  <w:style w:type="character" w:customStyle="1" w:styleId="231">
    <w:name w:val="Текст выноски Знак117"/>
    <w:semiHidden/>
    <w:uiPriority w:val="99"/>
    <w:rPr>
      <w:rFonts w:ascii="Tahoma" w:hAnsi="Tahoma"/>
      <w:sz w:val="16"/>
      <w:lang w:val="zh-CN" w:eastAsia="en-US"/>
    </w:rPr>
  </w:style>
  <w:style w:type="character" w:customStyle="1" w:styleId="232">
    <w:name w:val="Текст выноски Знак116"/>
    <w:semiHidden/>
    <w:uiPriority w:val="99"/>
    <w:rPr>
      <w:rFonts w:ascii="Tahoma" w:hAnsi="Tahoma"/>
      <w:sz w:val="16"/>
      <w:lang w:val="zh-CN" w:eastAsia="en-US"/>
    </w:rPr>
  </w:style>
  <w:style w:type="character" w:customStyle="1" w:styleId="233">
    <w:name w:val="Текст выноски Знак115"/>
    <w:semiHidden/>
    <w:uiPriority w:val="99"/>
    <w:rPr>
      <w:rFonts w:ascii="Tahoma" w:hAnsi="Tahoma"/>
      <w:sz w:val="16"/>
      <w:lang w:val="zh-CN" w:eastAsia="en-US"/>
    </w:rPr>
  </w:style>
  <w:style w:type="character" w:customStyle="1" w:styleId="234">
    <w:name w:val="Текст выноски Знак114"/>
    <w:semiHidden/>
    <w:uiPriority w:val="99"/>
    <w:rPr>
      <w:rFonts w:ascii="Tahoma" w:hAnsi="Tahoma"/>
      <w:sz w:val="16"/>
      <w:lang w:val="zh-CN" w:eastAsia="en-US"/>
    </w:rPr>
  </w:style>
  <w:style w:type="character" w:customStyle="1" w:styleId="235">
    <w:name w:val="Текст выноски Знак113"/>
    <w:semiHidden/>
    <w:uiPriority w:val="99"/>
    <w:rPr>
      <w:rFonts w:ascii="Tahoma" w:hAnsi="Tahoma"/>
      <w:sz w:val="16"/>
      <w:lang w:val="zh-CN" w:eastAsia="en-US"/>
    </w:rPr>
  </w:style>
  <w:style w:type="character" w:customStyle="1" w:styleId="236">
    <w:name w:val="Текст выноски Знак112"/>
    <w:semiHidden/>
    <w:uiPriority w:val="99"/>
    <w:rPr>
      <w:rFonts w:ascii="Tahoma" w:hAnsi="Tahoma"/>
      <w:sz w:val="16"/>
      <w:lang w:val="zh-CN" w:eastAsia="en-US"/>
    </w:rPr>
  </w:style>
  <w:style w:type="character" w:customStyle="1" w:styleId="237">
    <w:name w:val="Текст выноски Знак111"/>
    <w:semiHidden/>
    <w:uiPriority w:val="99"/>
    <w:rPr>
      <w:rFonts w:ascii="Tahoma" w:hAnsi="Tahoma"/>
      <w:sz w:val="16"/>
      <w:lang w:val="zh-CN" w:eastAsia="en-US"/>
    </w:rPr>
  </w:style>
  <w:style w:type="character" w:customStyle="1" w:styleId="238">
    <w:name w:val="Текст выноски Знак110"/>
    <w:semiHidden/>
    <w:uiPriority w:val="99"/>
    <w:rPr>
      <w:rFonts w:ascii="Tahoma" w:hAnsi="Tahoma"/>
      <w:sz w:val="16"/>
      <w:lang w:val="zh-CN" w:eastAsia="en-US"/>
    </w:rPr>
  </w:style>
  <w:style w:type="character" w:customStyle="1" w:styleId="239">
    <w:name w:val="Текст выноски Знак19"/>
    <w:semiHidden/>
    <w:uiPriority w:val="99"/>
    <w:rPr>
      <w:rFonts w:ascii="Tahoma" w:hAnsi="Tahoma"/>
      <w:sz w:val="16"/>
      <w:lang w:val="zh-CN" w:eastAsia="en-US"/>
    </w:rPr>
  </w:style>
  <w:style w:type="character" w:customStyle="1" w:styleId="240">
    <w:name w:val="Текст выноски Знак18"/>
    <w:semiHidden/>
    <w:uiPriority w:val="99"/>
    <w:rPr>
      <w:rFonts w:ascii="Tahoma" w:hAnsi="Tahoma"/>
      <w:sz w:val="16"/>
      <w:lang w:val="zh-CN" w:eastAsia="en-US"/>
    </w:rPr>
  </w:style>
  <w:style w:type="character" w:customStyle="1" w:styleId="241">
    <w:name w:val="Текст выноски Знак17"/>
    <w:semiHidden/>
    <w:uiPriority w:val="99"/>
    <w:rPr>
      <w:rFonts w:ascii="Tahoma" w:hAnsi="Tahoma"/>
      <w:sz w:val="16"/>
      <w:lang w:val="zh-CN" w:eastAsia="en-US"/>
    </w:rPr>
  </w:style>
  <w:style w:type="character" w:customStyle="1" w:styleId="242">
    <w:name w:val="Текст выноски Знак16"/>
    <w:semiHidden/>
    <w:uiPriority w:val="99"/>
    <w:rPr>
      <w:rFonts w:ascii="Tahoma" w:hAnsi="Tahoma"/>
      <w:sz w:val="16"/>
      <w:lang w:val="zh-CN" w:eastAsia="en-US"/>
    </w:rPr>
  </w:style>
  <w:style w:type="character" w:customStyle="1" w:styleId="243">
    <w:name w:val="Текст выноски Знак15"/>
    <w:semiHidden/>
    <w:uiPriority w:val="99"/>
    <w:rPr>
      <w:rFonts w:ascii="Tahoma" w:hAnsi="Tahoma"/>
      <w:sz w:val="16"/>
      <w:lang w:val="zh-CN" w:eastAsia="en-US"/>
    </w:rPr>
  </w:style>
  <w:style w:type="character" w:customStyle="1" w:styleId="244">
    <w:name w:val="Текст выноски Знак14"/>
    <w:semiHidden/>
    <w:uiPriority w:val="99"/>
    <w:rPr>
      <w:rFonts w:ascii="Tahoma" w:hAnsi="Tahoma"/>
      <w:sz w:val="16"/>
      <w:lang w:val="zh-CN" w:eastAsia="en-US"/>
    </w:rPr>
  </w:style>
  <w:style w:type="character" w:customStyle="1" w:styleId="245">
    <w:name w:val="Текст выноски Знак13"/>
    <w:semiHidden/>
    <w:uiPriority w:val="99"/>
    <w:rPr>
      <w:rFonts w:ascii="Tahoma" w:hAnsi="Tahoma"/>
      <w:sz w:val="16"/>
      <w:lang w:val="zh-CN" w:eastAsia="en-US"/>
    </w:rPr>
  </w:style>
  <w:style w:type="character" w:customStyle="1" w:styleId="246">
    <w:name w:val="Текст выноски Знак12"/>
    <w:semiHidden/>
    <w:uiPriority w:val="99"/>
    <w:rPr>
      <w:rFonts w:ascii="Tahoma" w:hAnsi="Tahoma"/>
      <w:sz w:val="16"/>
      <w:lang w:val="zh-CN" w:eastAsia="en-US"/>
    </w:rPr>
  </w:style>
  <w:style w:type="character" w:customStyle="1" w:styleId="247">
    <w:name w:val="Текст выноски Знак11"/>
    <w:semiHidden/>
    <w:uiPriority w:val="99"/>
    <w:rPr>
      <w:rFonts w:ascii="Tahoma" w:hAnsi="Tahoma"/>
      <w:sz w:val="16"/>
      <w:lang w:val="zh-CN" w:eastAsia="en-US"/>
    </w:rPr>
  </w:style>
  <w:style w:type="table" w:customStyle="1" w:styleId="248">
    <w:name w:val="Table Normal"/>
    <w:semiHidden/>
    <w:unhideWhenUsed/>
    <w:qFormat/>
    <w:uiPriority w:val="2"/>
    <w:pPr>
      <w:widowControl w:val="0"/>
      <w:autoSpaceDE w:val="0"/>
      <w:autoSpaceDN w:val="0"/>
    </w:pPr>
    <w:rPr>
      <w:rFonts w:cs="Times New Roman"/>
      <w:sz w:val="22"/>
      <w:szCs w:val="22"/>
      <w:lang w:val="en-US" w:eastAsia="en-US"/>
    </w:rPr>
    <w:tblPr>
      <w:tblLayout w:type="fixed"/>
      <w:tblCellMar>
        <w:top w:w="0" w:type="dxa"/>
        <w:left w:w="0" w:type="dxa"/>
        <w:bottom w:w="0" w:type="dxa"/>
        <w:right w:w="0" w:type="dxa"/>
      </w:tblCellMar>
    </w:tblPr>
  </w:style>
  <w:style w:type="paragraph" w:customStyle="1" w:styleId="249">
    <w:name w:val="Table Paragraph"/>
    <w:basedOn w:val="1"/>
    <w:qFormat/>
    <w:uiPriority w:val="1"/>
    <w:pPr>
      <w:widowControl w:val="0"/>
      <w:autoSpaceDE w:val="0"/>
      <w:autoSpaceDN w:val="0"/>
      <w:spacing w:after="0" w:line="240" w:lineRule="auto"/>
      <w:ind w:left="19"/>
    </w:pPr>
    <w:rPr>
      <w:rFonts w:ascii="Times New Roman" w:hAnsi="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O-PushkarevaMA\Documents\&#1064;&#1072;&#1073;&#1083;&#1086;&#1085;%20&#1043;&#1056;&#1044;&#1041;%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Шаблон ГРДБ 3</Template>
  <Company>VMI</Company>
  <Pages>111</Pages>
  <Words>29856</Words>
  <Characters>170183</Characters>
  <Lines>1418</Lines>
  <Paragraphs>399</Paragraphs>
  <TotalTime>77</TotalTime>
  <ScaleCrop>false</ScaleCrop>
  <LinksUpToDate>false</LinksUpToDate>
  <CharactersWithSpaces>199640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2024-11-24T12:16:00Z</dcterms:created>
  <dc:creator>КонсультантПлюс</dc:creator>
  <cp:lastModifiedBy>odayn</cp:lastModifiedBy>
  <dcterms:modified xsi:type="dcterms:W3CDTF">2024-12-17T09:49:16Z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