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30F3B8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1343A" w14:textId="21005236" w:rsidR="00000000" w:rsidRDefault="006D1D7E">
            <w:pPr>
              <w:pStyle w:val="1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pict w14:anchorId="244AC79D"/>
            </w:r>
            <w:r>
              <w:rPr>
                <w:rFonts w:eastAsia="Times New Roman"/>
              </w:rPr>
              <w:t>ООО «</w:t>
            </w:r>
            <w:r w:rsidR="0003125B">
              <w:rPr>
                <w:rFonts w:eastAsia="Times New Roman"/>
                <w:lang w:val="en-US"/>
              </w:rPr>
              <w:t>PPT.ru</w:t>
            </w:r>
            <w:r>
              <w:rPr>
                <w:rFonts w:eastAsia="Times New Roman"/>
              </w:rPr>
              <w:t>»</w:t>
            </w:r>
          </w:p>
          <w:p w14:paraId="6A3D41F3" w14:textId="77777777" w:rsidR="00000000" w:rsidRDefault="006D1D7E">
            <w:pPr>
              <w:pStyle w:val="a3"/>
              <w:jc w:val="right"/>
            </w:pPr>
            <w:r>
              <w:t>Утверждаю</w:t>
            </w:r>
            <w:r>
              <w:br/>
              <w:t>__________________</w:t>
            </w:r>
            <w:r>
              <w:br/>
              <w:t xml:space="preserve">(должность, </w:t>
            </w:r>
            <w:proofErr w:type="spellStart"/>
            <w:r>
              <w:t>ф.и.о.</w:t>
            </w:r>
            <w:proofErr w:type="spellEnd"/>
            <w:r>
              <w:t>)</w:t>
            </w:r>
            <w:r>
              <w:br/>
              <w:t>«____» _____________ 201___г.</w:t>
            </w:r>
          </w:p>
          <w:p w14:paraId="4B17FFE9" w14:textId="77777777" w:rsidR="00000000" w:rsidRDefault="006D1D7E">
            <w:pPr>
              <w:pStyle w:val="3"/>
              <w:jc w:val="center"/>
              <w:divId w:val="1968929457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«Об учетной политике организации»</w:t>
            </w:r>
          </w:p>
          <w:p w14:paraId="72C1786A" w14:textId="77777777" w:rsidR="00000000" w:rsidRDefault="006D1D7E">
            <w:pPr>
              <w:pStyle w:val="4"/>
              <w:divId w:val="1968929457"/>
              <w:rPr>
                <w:rFonts w:eastAsia="Times New Roman"/>
              </w:rPr>
            </w:pPr>
            <w:r>
              <w:rPr>
                <w:rFonts w:eastAsia="Times New Roman"/>
              </w:rPr>
              <w:t>Раздел 1. Бухгалтерский учет</w:t>
            </w:r>
          </w:p>
          <w:p w14:paraId="0335747F" w14:textId="77777777" w:rsidR="00000000" w:rsidRDefault="006D1D7E">
            <w:pPr>
              <w:pStyle w:val="a3"/>
              <w:divId w:val="1968929457"/>
            </w:pPr>
            <w:r>
              <w:t xml:space="preserve">Ведение </w:t>
            </w:r>
            <w:proofErr w:type="spellStart"/>
            <w:proofErr w:type="gramStart"/>
            <w:r>
              <w:t>бухучета.Организация</w:t>
            </w:r>
            <w:proofErr w:type="spellEnd"/>
            <w:proofErr w:type="gramEnd"/>
            <w:r>
              <w:t xml:space="preserve"> ведет учет посредством двойной записи на счетах бухучета (с применением сокращенного плана счетов)</w:t>
            </w:r>
          </w:p>
          <w:p w14:paraId="34C2D486" w14:textId="77777777" w:rsidR="00000000" w:rsidRDefault="006D1D7E">
            <w:pPr>
              <w:pStyle w:val="a3"/>
              <w:divId w:val="1968929457"/>
            </w:pPr>
            <w:r>
              <w:rPr>
                <w:rStyle w:val="a4"/>
              </w:rPr>
              <w:t>Рабочий план счетов.</w:t>
            </w:r>
          </w:p>
          <w:p w14:paraId="315FEEDA" w14:textId="77777777" w:rsidR="00000000" w:rsidRDefault="006D1D7E">
            <w:pPr>
              <w:pStyle w:val="a3"/>
              <w:divId w:val="1968929457"/>
            </w:pPr>
            <w:r>
              <w:t xml:space="preserve">Рабочий план счетов приведен в приложении № 1. </w:t>
            </w:r>
          </w:p>
          <w:p w14:paraId="485AE754" w14:textId="77777777" w:rsidR="00000000" w:rsidRDefault="006D1D7E">
            <w:pPr>
              <w:pStyle w:val="a3"/>
              <w:divId w:val="1968929457"/>
            </w:pPr>
            <w:r>
              <w:t xml:space="preserve">Формы первичных учетных </w:t>
            </w:r>
            <w:proofErr w:type="spellStart"/>
            <w:proofErr w:type="gramStart"/>
            <w:r>
              <w:t>документов.Организация</w:t>
            </w:r>
            <w:proofErr w:type="spellEnd"/>
            <w:proofErr w:type="gramEnd"/>
            <w:r>
              <w:t xml:space="preserve"> использует у</w:t>
            </w:r>
            <w:r>
              <w:t>нифицированные формы, а при их отсутствии - самостоятельно разработанные формы первичных документов</w:t>
            </w:r>
          </w:p>
          <w:p w14:paraId="62695BF4" w14:textId="77777777" w:rsidR="00000000" w:rsidRDefault="006D1D7E">
            <w:pPr>
              <w:pStyle w:val="a3"/>
              <w:divId w:val="1968929457"/>
            </w:pPr>
            <w:r>
              <w:rPr>
                <w:rStyle w:val="a4"/>
              </w:rPr>
              <w:t>Применение универсального передаточного документа.</w:t>
            </w:r>
          </w:p>
          <w:p w14:paraId="7EF982B1" w14:textId="77777777" w:rsidR="00000000" w:rsidRDefault="006D1D7E">
            <w:pPr>
              <w:pStyle w:val="a3"/>
              <w:divId w:val="1968929457"/>
            </w:pPr>
            <w:r>
              <w:t>Для оформления фактов отгрузки товаров (выполнения работ, оказания услуг, передачи имущественных прав) ор</w:t>
            </w:r>
            <w:r>
              <w:t xml:space="preserve">ганизация </w:t>
            </w:r>
          </w:p>
          <w:p w14:paraId="4517C573" w14:textId="77777777" w:rsidR="00000000" w:rsidRDefault="006D1D7E">
            <w:pPr>
              <w:pStyle w:val="a3"/>
              <w:divId w:val="1968929457"/>
            </w:pPr>
            <w:r>
              <w:t xml:space="preserve">может применять форму универсального передаточного документа, утвержденную ФНС России </w:t>
            </w:r>
          </w:p>
          <w:p w14:paraId="3BFE9E13" w14:textId="77777777" w:rsidR="00000000" w:rsidRDefault="006D1D7E">
            <w:pPr>
              <w:pStyle w:val="a3"/>
              <w:divId w:val="1968929457"/>
            </w:pPr>
            <w:r>
              <w:rPr>
                <w:rStyle w:val="a4"/>
              </w:rPr>
              <w:t>Внутренний контроль совершаемых фактов хозяйственной жизни.</w:t>
            </w:r>
          </w:p>
          <w:p w14:paraId="32031BD1" w14:textId="77777777" w:rsidR="00000000" w:rsidRDefault="006D1D7E">
            <w:pPr>
              <w:pStyle w:val="a3"/>
              <w:divId w:val="1968929457"/>
            </w:pPr>
            <w:r>
              <w:t xml:space="preserve">Ответственным за внутренний контроль совершаемых фактов хозяйственной жизни является </w:t>
            </w:r>
          </w:p>
          <w:p w14:paraId="3C4EDD65" w14:textId="77777777" w:rsidR="00000000" w:rsidRDefault="006D1D7E">
            <w:pPr>
              <w:pStyle w:val="a3"/>
              <w:divId w:val="1968929457"/>
            </w:pPr>
            <w:r>
              <w:t>главный бухг</w:t>
            </w:r>
            <w:r>
              <w:t xml:space="preserve">алтер </w:t>
            </w:r>
          </w:p>
          <w:p w14:paraId="38903592" w14:textId="77777777" w:rsidR="00000000" w:rsidRDefault="006D1D7E">
            <w:pPr>
              <w:divId w:val="18088638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Формы бухгалтерской отчетности.</w:t>
            </w:r>
            <w:r>
              <w:rPr>
                <w:rFonts w:eastAsia="Times New Roman"/>
              </w:rPr>
              <w:br/>
              <w:t>Для составления бухгалтерской отчетности используются формы, утвержденные Приказом Минфина России от 02.07.2010 № 66н «О формах бухгалтерской отчетности организаций».</w:t>
            </w:r>
          </w:p>
          <w:p w14:paraId="0F63FFA1" w14:textId="77777777" w:rsidR="00000000" w:rsidRDefault="006D1D7E">
            <w:pPr>
              <w:pStyle w:val="a3"/>
              <w:divId w:val="1945727084"/>
            </w:pPr>
            <w:r>
              <w:rPr>
                <w:rStyle w:val="a4"/>
              </w:rPr>
              <w:t>Критерий существенности.</w:t>
            </w:r>
          </w:p>
          <w:p w14:paraId="0A5271F3" w14:textId="77777777" w:rsidR="00000000" w:rsidRDefault="006D1D7E">
            <w:pPr>
              <w:pStyle w:val="a3"/>
              <w:divId w:val="1945727084"/>
            </w:pPr>
            <w:r>
              <w:t>Показатель отчетности счи</w:t>
            </w:r>
            <w:r>
              <w:t>тается существенным и раскрывается отдельно, если его удельный вес в общей сумме составляет 5% и более от данных по соответствующей группе статей в балансе</w:t>
            </w:r>
          </w:p>
          <w:p w14:paraId="17EA1C12" w14:textId="77777777" w:rsidR="00000000" w:rsidRDefault="006D1D7E">
            <w:pPr>
              <w:pStyle w:val="a3"/>
              <w:divId w:val="1945727084"/>
            </w:pPr>
            <w:r>
              <w:lastRenderedPageBreak/>
              <w:t>Существенной признается учетная ошибка, в результате исправления которой показатель по статье бухгал</w:t>
            </w:r>
            <w:r>
              <w:t>терской отчетности изменится более чем на 5% и более от данных по соответствующей группе статей в балансе</w:t>
            </w:r>
          </w:p>
          <w:p w14:paraId="0B439923" w14:textId="77777777" w:rsidR="00000000" w:rsidRDefault="006D1D7E">
            <w:pPr>
              <w:pStyle w:val="a3"/>
              <w:divId w:val="969700621"/>
            </w:pPr>
            <w:r>
              <w:rPr>
                <w:rStyle w:val="a4"/>
              </w:rPr>
              <w:t>Порядок исправления ошибок в бухучете и отражения изменений учетной политики.</w:t>
            </w:r>
          </w:p>
          <w:p w14:paraId="3B5688D7" w14:textId="77777777" w:rsidR="00000000" w:rsidRDefault="006D1D7E">
            <w:pPr>
              <w:pStyle w:val="a3"/>
              <w:divId w:val="969700621"/>
            </w:pPr>
            <w:r>
              <w:t>Организация будет исправлять ошибки в отчетности без ретроспективного пе</w:t>
            </w:r>
            <w:r>
              <w:t>ресчета (в текущем периоде)</w:t>
            </w:r>
          </w:p>
          <w:p w14:paraId="01CC71A2" w14:textId="77777777" w:rsidR="00000000" w:rsidRDefault="006D1D7E">
            <w:pPr>
              <w:pStyle w:val="a3"/>
              <w:divId w:val="969700621"/>
            </w:pPr>
            <w:r>
              <w:t>В случае изменения учетной политики последствия таких изменений отражаются ретроспективно (только если они существенные)</w:t>
            </w:r>
          </w:p>
          <w:p w14:paraId="1B2FF8F2" w14:textId="77777777" w:rsidR="00000000" w:rsidRDefault="006D1D7E">
            <w:pPr>
              <w:pStyle w:val="a3"/>
              <w:divId w:val="969700621"/>
            </w:pPr>
            <w:r>
              <w:rPr>
                <w:rStyle w:val="a4"/>
              </w:rPr>
              <w:t>Неприменение отдельных ПБУ.</w:t>
            </w:r>
          </w:p>
          <w:p w14:paraId="1A6E0C06" w14:textId="77777777" w:rsidR="00000000" w:rsidRDefault="006D1D7E">
            <w:pPr>
              <w:pStyle w:val="a3"/>
              <w:divId w:val="969700621"/>
            </w:pPr>
            <w:r>
              <w:t xml:space="preserve">Как малое предприятие, организация не применяет нормы следующих ПБУ </w:t>
            </w:r>
          </w:p>
          <w:p w14:paraId="0ACFFDD4" w14:textId="77777777" w:rsidR="00000000" w:rsidRDefault="006D1D7E">
            <w:pPr>
              <w:pStyle w:val="a3"/>
              <w:divId w:val="969700621"/>
            </w:pPr>
            <w:r>
              <w:t>ПБУ 2/2008</w:t>
            </w:r>
            <w:r>
              <w:t xml:space="preserve"> «Учет договоров строительного подряда»</w:t>
            </w:r>
            <w:r>
              <w:br/>
              <w:t>ПБУ 8/2010 «Оценочные обязательства, условные обязательства и условные активы»</w:t>
            </w:r>
            <w:r>
              <w:br/>
              <w:t>ПБУ 11/2008 «Информация о связанных сторонах»</w:t>
            </w:r>
            <w:r>
              <w:br/>
              <w:t>ПБУ 12/2010 «Информация по сегментам»</w:t>
            </w:r>
            <w:r>
              <w:br/>
              <w:t>ПБУ 16/02 «Информация по прекращаемой деятельности»</w:t>
            </w:r>
          </w:p>
          <w:p w14:paraId="6849519B" w14:textId="77777777" w:rsidR="00000000" w:rsidRDefault="006D1D7E">
            <w:pPr>
              <w:pStyle w:val="a3"/>
              <w:divId w:val="1172836276"/>
            </w:pPr>
            <w:r>
              <w:t>Доходы и расходы в бухучете определяются по методу начисления</w:t>
            </w:r>
          </w:p>
          <w:p w14:paraId="5FCC8BDC" w14:textId="77777777" w:rsidR="00000000" w:rsidRDefault="006D1D7E">
            <w:pPr>
              <w:pStyle w:val="a3"/>
              <w:divId w:val="829566022"/>
            </w:pPr>
            <w:r>
              <w:t>Доходы от сдачи имущества в аренду признаются прочими доходами</w:t>
            </w:r>
          </w:p>
          <w:p w14:paraId="451E6DFC" w14:textId="77777777" w:rsidR="00000000" w:rsidRDefault="006D1D7E">
            <w:pPr>
              <w:pStyle w:val="a3"/>
              <w:divId w:val="829566022"/>
            </w:pPr>
            <w:r>
              <w:t>Коммерческие и управленческие расходы признаются в себестоимости проданных товаров, работ, услуг полностью в отчетном периоде их пр</w:t>
            </w:r>
            <w:r>
              <w:t>изнания в качестве расходов по обычным видам деятельности</w:t>
            </w:r>
          </w:p>
          <w:p w14:paraId="3B6E2813" w14:textId="77777777" w:rsidR="00000000" w:rsidRDefault="006D1D7E">
            <w:pPr>
              <w:pStyle w:val="a3"/>
              <w:divId w:val="829566022"/>
            </w:pPr>
            <w:r>
              <w:t xml:space="preserve">Расходы по любым займам и кредитам учитываются в составе прочих расходов. </w:t>
            </w:r>
          </w:p>
          <w:p w14:paraId="0C043E57" w14:textId="77777777" w:rsidR="00000000" w:rsidRDefault="006D1D7E">
            <w:pPr>
              <w:pStyle w:val="a3"/>
              <w:divId w:val="954290240"/>
            </w:pPr>
            <w:r>
              <w:t>Финансовые вложения не переоцениваются</w:t>
            </w:r>
          </w:p>
          <w:p w14:paraId="19D8567E" w14:textId="77777777" w:rsidR="00000000" w:rsidRDefault="006D1D7E">
            <w:pPr>
              <w:pStyle w:val="a3"/>
              <w:divId w:val="1450852481"/>
            </w:pPr>
            <w:r>
              <w:rPr>
                <w:rStyle w:val="a4"/>
              </w:rPr>
              <w:t>Учет основных средств.</w:t>
            </w:r>
          </w:p>
          <w:p w14:paraId="1B7ACCCF" w14:textId="77777777" w:rsidR="00000000" w:rsidRDefault="006D1D7E">
            <w:pPr>
              <w:pStyle w:val="a3"/>
              <w:divId w:val="1450852481"/>
            </w:pPr>
            <w:r>
              <w:t>В составе материально-производственных запасов учитываются объекты стоимостью не более 40 000 руб. за единицу</w:t>
            </w:r>
          </w:p>
          <w:p w14:paraId="510FDB0B" w14:textId="77777777" w:rsidR="00000000" w:rsidRDefault="006D1D7E">
            <w:pPr>
              <w:pStyle w:val="a3"/>
              <w:divId w:val="1251231172"/>
            </w:pPr>
            <w:r>
              <w:t xml:space="preserve">В случае наличия у одного объекта основных средств нескольких частей, сроки полезного использования (СПИ) которых существенно различаются, каждая </w:t>
            </w:r>
            <w:r>
              <w:t>такая часть учитывается как самостоятельный инвентарный объект. Различие считается существенным, когда СПИ одной части отличается от СПИ другой части более чем на 50%</w:t>
            </w:r>
          </w:p>
          <w:p w14:paraId="68531786" w14:textId="77777777" w:rsidR="00000000" w:rsidRDefault="006D1D7E">
            <w:pPr>
              <w:pStyle w:val="a3"/>
              <w:divId w:val="1251231172"/>
            </w:pPr>
            <w:r>
              <w:t>Основные средства принимаются к учету по цене поставщика с учетом затрат на монтаж</w:t>
            </w:r>
          </w:p>
          <w:p w14:paraId="56BA6A69" w14:textId="77777777" w:rsidR="00000000" w:rsidRDefault="006D1D7E">
            <w:pPr>
              <w:pStyle w:val="a3"/>
              <w:divId w:val="1251231172"/>
            </w:pPr>
            <w:r>
              <w:t>Аморти</w:t>
            </w:r>
            <w:r>
              <w:t>зация по основным средствам начисляется раз в год (на 31 декабря)</w:t>
            </w:r>
          </w:p>
          <w:p w14:paraId="48912C37" w14:textId="77777777" w:rsidR="00000000" w:rsidRDefault="006D1D7E">
            <w:pPr>
              <w:pStyle w:val="a3"/>
              <w:divId w:val="1496527914"/>
            </w:pPr>
            <w:r>
              <w:t xml:space="preserve">Амортизация по объектам основных средств начисляется </w:t>
            </w:r>
          </w:p>
          <w:p w14:paraId="045A0D4E" w14:textId="77777777" w:rsidR="00000000" w:rsidRDefault="006D1D7E">
            <w:pPr>
              <w:pStyle w:val="a3"/>
              <w:divId w:val="1496527914"/>
            </w:pPr>
            <w:r>
              <w:lastRenderedPageBreak/>
              <w:t>линейным способом</w:t>
            </w:r>
          </w:p>
          <w:p w14:paraId="0DBD1C37" w14:textId="77777777" w:rsidR="00000000" w:rsidRDefault="006D1D7E">
            <w:pPr>
              <w:pStyle w:val="a3"/>
              <w:divId w:val="73552951"/>
            </w:pPr>
            <w:r>
              <w:t>Специальные коэффициенты к норме амортизации не применяются</w:t>
            </w:r>
          </w:p>
          <w:p w14:paraId="2AF02A45" w14:textId="77777777" w:rsidR="00000000" w:rsidRDefault="006D1D7E">
            <w:pPr>
              <w:pStyle w:val="a3"/>
              <w:divId w:val="1310018174"/>
            </w:pPr>
            <w:r>
              <w:t>Расходы на продажу по итогам месяца относятся на себестоим</w:t>
            </w:r>
            <w:r>
              <w:t>ость проданных товаров (работ, услуг) полностью</w:t>
            </w:r>
          </w:p>
          <w:p w14:paraId="5A926D0F" w14:textId="77777777" w:rsidR="00000000" w:rsidRDefault="006D1D7E">
            <w:pPr>
              <w:pStyle w:val="a3"/>
              <w:divId w:val="1310018174"/>
            </w:pPr>
            <w:r>
              <w:t xml:space="preserve">Расходы на продажу по итогам месяца относятся на себестоимость проданных товаров (работ, услуг) 1 </w:t>
            </w:r>
          </w:p>
          <w:p w14:paraId="3E6ECA0A" w14:textId="77777777" w:rsidR="00000000" w:rsidRDefault="006D1D7E">
            <w:pPr>
              <w:pStyle w:val="4"/>
              <w:divId w:val="206649463"/>
              <w:rPr>
                <w:rFonts w:eastAsia="Times New Roman"/>
              </w:rPr>
            </w:pPr>
            <w:r>
              <w:rPr>
                <w:rFonts w:eastAsia="Times New Roman"/>
              </w:rPr>
              <w:t>Раздел 3. НДС.</w:t>
            </w:r>
          </w:p>
          <w:p w14:paraId="3B49C98F" w14:textId="77777777" w:rsidR="00000000" w:rsidRDefault="006D1D7E">
            <w:pPr>
              <w:pStyle w:val="a3"/>
              <w:divId w:val="206649463"/>
            </w:pPr>
            <w:r>
              <w:rPr>
                <w:rStyle w:val="a4"/>
              </w:rPr>
              <w:t>Облагаемые и необлагаемые НДС операции.</w:t>
            </w:r>
          </w:p>
          <w:p w14:paraId="18C64A51" w14:textId="77777777" w:rsidR="00000000" w:rsidRDefault="006D1D7E">
            <w:pPr>
              <w:pStyle w:val="a3"/>
              <w:divId w:val="206649463"/>
            </w:pPr>
            <w:r>
              <w:t>Раздельный учет входного НДС по товарам, работам, услу</w:t>
            </w:r>
            <w:r>
              <w:t>гам, приобретенным для ведения облагаемых и необлагаемых налогом операций, ведется посредством введения субсчетов к счетам бухгалтерского учета</w:t>
            </w:r>
          </w:p>
          <w:p w14:paraId="0A1DD753" w14:textId="77777777" w:rsidR="00000000" w:rsidRDefault="006D1D7E">
            <w:pPr>
              <w:pStyle w:val="a3"/>
              <w:divId w:val="206649463"/>
            </w:pPr>
            <w:r>
              <w:rPr>
                <w:rStyle w:val="a4"/>
              </w:rPr>
              <w:t>Применение п. 4 ст. 170 НК РФ при наличии облагаемых и необлагаемых НДС операций.</w:t>
            </w:r>
          </w:p>
          <w:p w14:paraId="35DA5316" w14:textId="77777777" w:rsidR="00000000" w:rsidRDefault="006D1D7E">
            <w:pPr>
              <w:pStyle w:val="a3"/>
              <w:divId w:val="206649463"/>
            </w:pPr>
            <w:r>
              <w:t xml:space="preserve">Если в отчетном квартале доля </w:t>
            </w:r>
            <w:r>
              <w:t>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 НДС, не превышает 5% общей величины совокупных расходов на приобретение, производств</w:t>
            </w:r>
            <w:r>
              <w:t>о и (или) реализацию товаров (работ, услуг), имущественных прав, то все суммы НДС, предъявленные продавцами товаров (работ, услуг), имущественных прав в указанном квартале подлежат вычету в соответствии с порядком, предусмотренным ст. 172 НК РФ</w:t>
            </w:r>
          </w:p>
          <w:p w14:paraId="13B234DB" w14:textId="77777777" w:rsidR="00000000" w:rsidRDefault="006D1D7E">
            <w:pPr>
              <w:pStyle w:val="a3"/>
              <w:divId w:val="206649463"/>
            </w:pPr>
            <w:r>
              <w:rPr>
                <w:rStyle w:val="a4"/>
              </w:rPr>
              <w:t>Распределен</w:t>
            </w:r>
            <w:r>
              <w:rPr>
                <w:rStyle w:val="a4"/>
              </w:rPr>
              <w:t>ие входного НДС по приобретенным основным средствам и нематериальным активам.</w:t>
            </w:r>
          </w:p>
          <w:p w14:paraId="36A28270" w14:textId="77777777" w:rsidR="00000000" w:rsidRDefault="006D1D7E">
            <w:pPr>
              <w:pStyle w:val="a3"/>
              <w:divId w:val="206649463"/>
            </w:pPr>
            <w:r>
              <w:t>По основным средствам и нематериальным активам, принимаемым к учету в первом или во втором месяце квартала и используемым одновременно в облагаемых и не облагаемых НДС операциях,</w:t>
            </w:r>
            <w:r>
              <w:t xml:space="preserve"> входной НДС распределяется исходя из стоимости отгруженных товаров (выполненных работ, оказанных услуг), переданных имущественных прав, операции по реализации которых подлежат налогообложению (освобождены от налогообложения), в общей стоимости отгруженных</w:t>
            </w:r>
            <w:r>
              <w:t xml:space="preserve"> товаров (выполненных работ, оказанных услуг), переданных имущественных прав за квартал, в котором приобретено ОС или НМА</w:t>
            </w:r>
          </w:p>
          <w:p w14:paraId="1372C41A" w14:textId="77777777" w:rsidR="00000000" w:rsidRDefault="006D1D7E">
            <w:pPr>
              <w:pStyle w:val="a3"/>
              <w:divId w:val="206649463"/>
            </w:pPr>
            <w:r>
              <w:rPr>
                <w:rStyle w:val="a4"/>
              </w:rPr>
              <w:t>Нумерация счетов-фактур при наличии обособленных подразделений.</w:t>
            </w:r>
          </w:p>
          <w:p w14:paraId="34D9E2E0" w14:textId="77777777" w:rsidR="00000000" w:rsidRDefault="006D1D7E">
            <w:pPr>
              <w:pStyle w:val="a3"/>
              <w:divId w:val="206649463"/>
            </w:pPr>
            <w:r>
              <w:t>При реализации товаров (работ, услуг) через обособленное подразделение</w:t>
            </w:r>
            <w:r>
              <w:t xml:space="preserve"> порядковый номер счета-фактуры, выставляемого обособленным подразделением, через разделительную черту дополняется цифровым индексом обособленного подразделения </w:t>
            </w:r>
          </w:p>
          <w:p w14:paraId="25E18584" w14:textId="77777777" w:rsidR="00000000" w:rsidRDefault="006D1D7E">
            <w:pPr>
              <w:pStyle w:val="a3"/>
              <w:divId w:val="206649463"/>
            </w:pPr>
            <w:r>
              <w:t xml:space="preserve">Напишите цифровой индекс </w:t>
            </w:r>
          </w:p>
          <w:p w14:paraId="57CBE022" w14:textId="77777777" w:rsidR="00000000" w:rsidRDefault="006D1D7E">
            <w:pPr>
              <w:pStyle w:val="4"/>
              <w:divId w:val="100341637"/>
              <w:rPr>
                <w:rFonts w:eastAsia="Times New Roman"/>
              </w:rPr>
            </w:pPr>
            <w:r>
              <w:rPr>
                <w:rFonts w:eastAsia="Times New Roman"/>
              </w:rPr>
              <w:t>Раздел 4. Налог на имущество организаций.</w:t>
            </w:r>
          </w:p>
          <w:p w14:paraId="4362679F" w14:textId="77777777" w:rsidR="00000000" w:rsidRDefault="006D1D7E">
            <w:pPr>
              <w:pStyle w:val="a3"/>
              <w:divId w:val="100341637"/>
            </w:pPr>
            <w:r>
              <w:rPr>
                <w:rStyle w:val="a4"/>
              </w:rPr>
              <w:t>Раздельный учет.</w:t>
            </w:r>
          </w:p>
          <w:p w14:paraId="312E0E7D" w14:textId="77777777" w:rsidR="00000000" w:rsidRDefault="006D1D7E">
            <w:pPr>
              <w:pStyle w:val="a3"/>
              <w:divId w:val="100341637"/>
            </w:pPr>
            <w:r>
              <w:lastRenderedPageBreak/>
              <w:t>Стоимость</w:t>
            </w:r>
            <w:r>
              <w:t xml:space="preserve"> недвижимого имущества и движимого имущества, не являющегося объектом обложения налогом на имущество организаций, и начисленная амортизация по этим объектам учитываются на отдельных субсчетах к счетам 01 «Основные средства» и 02 «Амортизация основных средс</w:t>
            </w:r>
            <w:r>
              <w:t>тв»</w:t>
            </w:r>
          </w:p>
          <w:p w14:paraId="4EEE8F13" w14:textId="77777777" w:rsidR="00000000" w:rsidRDefault="006D1D7E">
            <w:pPr>
              <w:pStyle w:val="a3"/>
              <w:divId w:val="1187791195"/>
            </w:pPr>
            <w:r>
              <w:t>Стоимость недвижимого имущества, по которому налоговая база определяется как его кадастровая стоимость, и сумма начисленной по нему амортизации учитываются на специальном субсчете к счетам 01 «Основные средства» и 02 «Амортизация основных средств»</w:t>
            </w:r>
          </w:p>
        </w:tc>
      </w:tr>
    </w:tbl>
    <w:p w14:paraId="10FBBB3D" w14:textId="77777777" w:rsidR="006D1D7E" w:rsidRDefault="006D1D7E">
      <w:pPr>
        <w:rPr>
          <w:rFonts w:eastAsia="Times New Roman"/>
        </w:rPr>
      </w:pPr>
    </w:p>
    <w:sectPr w:rsidR="006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B"/>
    <w:rsid w:val="0003125B"/>
    <w:rsid w:val="001F5157"/>
    <w:rsid w:val="006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13A70"/>
  <w15:chartTrackingRefBased/>
  <w15:docId w15:val="{CBE31D3B-FC3A-4656-B641-0930010A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Дидух</dc:creator>
  <cp:keywords/>
  <dc:description/>
  <cp:lastModifiedBy>Юлия Дидух</cp:lastModifiedBy>
  <cp:revision>2</cp:revision>
  <dcterms:created xsi:type="dcterms:W3CDTF">2020-12-08T11:06:00Z</dcterms:created>
  <dcterms:modified xsi:type="dcterms:W3CDTF">2020-12-08T11:06:00Z</dcterms:modified>
</cp:coreProperties>
</file>