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Единый календарь зарплатной отчетности на 20</w:t>
      </w:r>
      <w:r>
        <w:rPr>
          <w:rFonts w:hint="default"/>
          <w:lang w:val="ru-RU"/>
        </w:rPr>
        <w:t>22</w:t>
      </w:r>
      <w:bookmarkStart w:id="0" w:name="_GoBack"/>
      <w:bookmarkEnd w:id="0"/>
      <w:r>
        <w:t xml:space="preserve"> год</w:t>
      </w:r>
    </w:p>
    <w:tbl>
      <w:tblPr>
        <w:tblStyle w:val="8"/>
        <w:tblW w:w="887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12"/>
        <w:gridCol w:w="2363"/>
        <w:gridCol w:w="1109"/>
        <w:gridCol w:w="412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Дата представления отчетности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Наименование отчетной формы / Период представления информации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Наименование контролирующей структуры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Категории подотчетных субъектов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8872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1 квартал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eastAsia="Times New Roman"/>
                <w:szCs w:val="15"/>
                <w:lang w:val="ru-RU"/>
              </w:rPr>
              <w:t>7</w:t>
            </w:r>
            <w:r>
              <w:rPr>
                <w:rFonts w:eastAsia="Times New Roman"/>
                <w:szCs w:val="15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декабрь 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страхователи:</w:t>
            </w:r>
          </w:p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 xml:space="preserve">1. Работодатели, </w:t>
            </w:r>
          </w:p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2. Организации и предприниматели, которые заключают гражданско-правовые договоры с физическими лицами)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  <w:lang w:val="ru-RU"/>
              </w:rPr>
              <w:t>20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за 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 (на бумаге)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</w:t>
            </w:r>
            <w:r>
              <w:rPr>
                <w:rFonts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за 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 в электронном виде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3</w:t>
            </w:r>
            <w:r>
              <w:rPr>
                <w:rFonts w:eastAsia="Times New Roman"/>
                <w:szCs w:val="15"/>
                <w:lang w:val="ru-RU"/>
              </w:rPr>
              <w:t>1</w:t>
            </w:r>
            <w:r>
              <w:rPr>
                <w:rFonts w:eastAsia="Times New Roman"/>
                <w:szCs w:val="15"/>
              </w:rPr>
              <w:t xml:space="preserve"> января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Расчет по страховым взносам за 20</w:t>
            </w:r>
            <w:r>
              <w:rPr>
                <w:rFonts w:hint="default"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февраля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</w:t>
            </w:r>
            <w:r>
              <w:rPr>
                <w:rFonts w:hint="default" w:eastAsia="Times New Roman"/>
                <w:szCs w:val="15"/>
                <w:lang w:val="ru-RU"/>
              </w:rPr>
              <w:t xml:space="preserve"> </w:t>
            </w:r>
            <w:r>
              <w:rPr>
                <w:rFonts w:eastAsia="Times New Roman"/>
                <w:szCs w:val="15"/>
              </w:rPr>
              <w:t>за январь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hint="default" w:eastAsia="Times New Roman"/>
                <w:szCs w:val="15"/>
                <w:lang w:val="ru-RU"/>
              </w:rPr>
              <w:t>1</w:t>
            </w:r>
            <w:r>
              <w:rPr>
                <w:rFonts w:eastAsia="Times New Roman"/>
                <w:szCs w:val="15"/>
              </w:rPr>
              <w:t xml:space="preserve"> марта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  <w:lang w:val="ru-RU"/>
              </w:rPr>
              <w:t>Расчет 6-НДФЛ за 2021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Налоговые агенты по 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СЗВ-СТАЖ за 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марта</w:t>
            </w:r>
          </w:p>
        </w:tc>
        <w:tc>
          <w:tcPr>
            <w:tcW w:w="237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февраль 20</w:t>
            </w:r>
            <w:r>
              <w:rPr>
                <w:rFonts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8872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2 квартал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15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Подтверждение основного вида деятельности за 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eastAsia="Times New Roman"/>
                <w:szCs w:val="15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Юридические лица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</w:t>
            </w:r>
            <w:r>
              <w:rPr>
                <w:rFonts w:eastAsia="Times New Roman"/>
                <w:szCs w:val="15"/>
                <w:lang w:val="ru-RU"/>
              </w:rPr>
              <w:t xml:space="preserve"> </w:t>
            </w:r>
            <w:r>
              <w:rPr>
                <w:rFonts w:eastAsia="Times New Roman"/>
                <w:szCs w:val="15"/>
              </w:rPr>
              <w:t>за март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eastAsia="Times New Roman"/>
                <w:szCs w:val="15"/>
                <w:lang w:val="ru-RU"/>
              </w:rPr>
            </w:pPr>
            <w:r>
              <w:rPr>
                <w:rFonts w:hint="default" w:eastAsia="Times New Roman"/>
                <w:szCs w:val="15"/>
                <w:lang w:val="ru-RU"/>
              </w:rPr>
              <w:t>20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на бумаге за 1 квартал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eastAsia="Times New Roman"/>
                <w:szCs w:val="15"/>
                <w:lang w:val="ru-RU"/>
              </w:rPr>
            </w:pPr>
            <w:r>
              <w:rPr>
                <w:rFonts w:hint="default" w:eastAsia="Times New Roman"/>
                <w:szCs w:val="15"/>
                <w:lang w:val="ru-RU"/>
              </w:rPr>
              <w:t>25 апреля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в электронном виде за 1 квартал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  <w:lang w:val="ru-RU"/>
              </w:rPr>
              <w:t>04</w:t>
            </w:r>
            <w:r>
              <w:rPr>
                <w:rFonts w:eastAsia="Times New Roman"/>
                <w:szCs w:val="15"/>
              </w:rPr>
              <w:t xml:space="preserve"> </w:t>
            </w:r>
            <w:r>
              <w:rPr>
                <w:rFonts w:eastAsia="Times New Roman"/>
                <w:szCs w:val="15"/>
                <w:lang w:val="ru-RU"/>
              </w:rPr>
              <w:t>мая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6-НДФЛ за 1 квартал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Налоговые агенты по 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3-НДФЛ за 20</w:t>
            </w:r>
            <w:r>
              <w:rPr>
                <w:rFonts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Индивидуальные предприниматели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auto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Расчет по страховым взносам за 1 квартал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eastAsia="Times New Roman"/>
                <w:szCs w:val="15"/>
                <w:lang w:val="ru-RU"/>
              </w:rPr>
            </w:pPr>
            <w:r>
              <w:rPr>
                <w:rFonts w:hint="default" w:eastAsia="Times New Roman"/>
                <w:szCs w:val="15"/>
                <w:lang w:val="ru-RU"/>
              </w:rPr>
              <w:t>16 мая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апрель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eastAsia="Times New Roman"/>
                <w:szCs w:val="15"/>
                <w:lang w:val="ru-RU"/>
              </w:rPr>
            </w:pPr>
            <w:r>
              <w:rPr>
                <w:rFonts w:hint="default" w:eastAsia="Times New Roman"/>
                <w:szCs w:val="15"/>
                <w:lang w:val="ru-RU"/>
              </w:rPr>
              <w:t>15 июня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май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15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</w:t>
            </w:r>
            <w:r>
              <w:rPr>
                <w:rFonts w:eastAsia="Times New Roman"/>
                <w:szCs w:val="15"/>
                <w:lang w:val="ru-RU"/>
              </w:rPr>
              <w:t>М</w:t>
            </w:r>
            <w:r>
              <w:rPr>
                <w:rFonts w:eastAsia="Times New Roman"/>
                <w:szCs w:val="15"/>
              </w:rPr>
              <w:t xml:space="preserve"> за июнь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</w:t>
            </w:r>
            <w:r>
              <w:rPr>
                <w:rFonts w:hint="default" w:eastAsia="Times New Roman"/>
                <w:szCs w:val="15"/>
                <w:lang w:val="ru-RU"/>
              </w:rPr>
              <w:t>0</w:t>
            </w:r>
            <w:r>
              <w:rPr>
                <w:rFonts w:eastAsia="Times New Roman"/>
                <w:szCs w:val="15"/>
              </w:rPr>
              <w:t xml:space="preserve">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 xml:space="preserve">4-ФСС на бумаге за </w:t>
            </w:r>
            <w:r>
              <w:rPr>
                <w:rFonts w:eastAsia="Times New Roman"/>
                <w:szCs w:val="15"/>
                <w:lang w:val="ru-RU"/>
              </w:rPr>
              <w:t>1 полугодие</w:t>
            </w:r>
            <w:r>
              <w:rPr>
                <w:rFonts w:eastAsia="Times New Roman"/>
                <w:szCs w:val="15"/>
              </w:rPr>
              <w:t xml:space="preserve">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июля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 xml:space="preserve">4-ФСС в электронном виде за </w:t>
            </w:r>
            <w:r>
              <w:rPr>
                <w:rFonts w:eastAsia="Times New Roman"/>
                <w:szCs w:val="15"/>
                <w:lang w:val="ru-RU"/>
              </w:rPr>
              <w:t>1 полугодие</w:t>
            </w:r>
            <w:r>
              <w:rPr>
                <w:rFonts w:eastAsia="Times New Roman"/>
                <w:szCs w:val="15"/>
              </w:rPr>
              <w:t xml:space="preserve">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  <w:lang w:val="ru-RU"/>
              </w:rPr>
              <w:t>01 августа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Расчет по страховым взносам за 1 полугодие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6-НДФЛ за 1 полугодие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Налоговые агенты по 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августа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июль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сентября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август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pStyle w:val="2"/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4 квартал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eastAsia="Times New Roman"/>
                <w:szCs w:val="15"/>
                <w:lang w:val="ru-RU"/>
              </w:rPr>
              <w:t>7</w:t>
            </w:r>
            <w:r>
              <w:rPr>
                <w:rFonts w:eastAsia="Times New Roman"/>
                <w:szCs w:val="15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сентябрь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</w:t>
            </w:r>
            <w:r>
              <w:rPr>
                <w:rFonts w:hint="default" w:eastAsia="Times New Roman"/>
                <w:szCs w:val="15"/>
                <w:lang w:val="ru-RU"/>
              </w:rPr>
              <w:t>0</w:t>
            </w:r>
            <w:r>
              <w:rPr>
                <w:rFonts w:eastAsia="Times New Roman"/>
                <w:szCs w:val="15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на бумаге за 9 месяцев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hint="default"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  <w:lang w:val="ru-RU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  <w:vAlign w:val="top"/>
          </w:tcPr>
          <w:p>
            <w:pPr>
              <w:rPr>
                <w:rFonts w:eastAsia="Times New Roman" w:asciiTheme="minorHAnsi" w:hAnsiTheme="minorHAnsi" w:cstheme="minorBidi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szCs w:val="15"/>
              </w:rPr>
              <w:t>Страхователи, у которых средняя численность персонала менее 25 человек, сдающие отчетность на бумажном носителе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4-ФСС в электронном виде за 9 месяцев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ФСС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Страхователи, отправляющие в ФСС отчет по электронным каналам. Численность персонала не имеет значения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3</w:t>
            </w:r>
            <w:r>
              <w:rPr>
                <w:rFonts w:eastAsia="Times New Roman"/>
                <w:szCs w:val="15"/>
                <w:lang w:val="ru-RU"/>
              </w:rPr>
              <w:t>1</w:t>
            </w:r>
            <w:r>
              <w:rPr>
                <w:rFonts w:eastAsia="Times New Roman"/>
                <w:szCs w:val="15"/>
              </w:rPr>
              <w:t xml:space="preserve"> октября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Расчет по страховым взносам за 9 месяцев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6-НДФЛ за 9 месяцев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ФНС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Налоговые агенты по НДФЛ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ноября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октябрь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27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hint="default" w:eastAsia="Times New Roman"/>
                <w:szCs w:val="15"/>
                <w:lang w:val="ru-RU"/>
              </w:rPr>
              <w:t>5</w:t>
            </w:r>
            <w:r>
              <w:rPr>
                <w:rFonts w:eastAsia="Times New Roman"/>
                <w:szCs w:val="15"/>
              </w:rPr>
              <w:t xml:space="preserve"> декабря</w:t>
            </w:r>
          </w:p>
        </w:tc>
        <w:tc>
          <w:tcPr>
            <w:tcW w:w="23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СЗВ-М за ноябрь 20</w:t>
            </w:r>
            <w:r>
              <w:rPr>
                <w:rFonts w:hint="default" w:eastAsia="Times New Roman"/>
                <w:szCs w:val="15"/>
                <w:lang w:val="ru-RU"/>
              </w:rPr>
              <w:t>22</w:t>
            </w:r>
            <w:r>
              <w:rPr>
                <w:rFonts w:eastAsia="Times New Roman"/>
                <w:szCs w:val="15"/>
              </w:rPr>
              <w:t xml:space="preserve"> года</w:t>
            </w:r>
          </w:p>
        </w:tc>
        <w:tc>
          <w:tcPr>
            <w:tcW w:w="110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ПФР</w:t>
            </w:r>
          </w:p>
        </w:tc>
        <w:tc>
          <w:tcPr>
            <w:tcW w:w="4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Все страхователи</w:t>
            </w:r>
          </w:p>
        </w:tc>
      </w:tr>
    </w:tbl>
    <w:p>
      <w:pPr>
        <w:pStyle w:val="3"/>
      </w:pPr>
      <w:r>
        <w:t>Календарь сдачи прочей отчетности в 20</w:t>
      </w:r>
      <w:r>
        <w:rPr>
          <w:rFonts w:hint="default"/>
          <w:lang w:val="ru-RU"/>
        </w:rPr>
        <w:t>22</w:t>
      </w:r>
      <w:r>
        <w:t xml:space="preserve"> году</w:t>
      </w:r>
    </w:p>
    <w:tbl>
      <w:tblPr>
        <w:tblStyle w:val="8"/>
        <w:tblW w:w="9521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5"/>
        <w:gridCol w:w="4371"/>
        <w:gridCol w:w="30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Вид отчетности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Отчетный/</w:t>
            </w:r>
            <w:r>
              <w:t>налоговый период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</w:rPr>
              <w:t>Срок сдачи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Статистика - Форма П-4 (НЗ)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</w:t>
            </w:r>
            <w:r>
              <w:rPr>
                <w:rFonts w:eastAsia="Times New Roman"/>
                <w:szCs w:val="15"/>
                <w:lang w:val="ru-RU"/>
              </w:rPr>
              <w:t xml:space="preserve"> </w:t>
            </w:r>
            <w:r>
              <w:rPr>
                <w:rFonts w:eastAsia="Times New Roman"/>
                <w:szCs w:val="15"/>
              </w:rPr>
              <w:t>кв. 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hint="default" w:eastAsia="Times New Roman"/>
                <w:szCs w:val="15"/>
                <w:lang w:val="ru-RU"/>
              </w:rPr>
              <w:t xml:space="preserve"> г.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  <w:lang w:val="ru-RU"/>
              </w:rPr>
              <w:t>10</w:t>
            </w:r>
            <w:r>
              <w:rPr>
                <w:rFonts w:eastAsia="Times New Roman"/>
                <w:szCs w:val="15"/>
              </w:rPr>
              <w:t xml:space="preserve"> января (перенос срока с 8 января)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8 апреля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8 июля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3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  <w:lang w:val="ru-RU"/>
              </w:rPr>
              <w:t>10</w:t>
            </w:r>
            <w:r>
              <w:rPr>
                <w:rFonts w:eastAsia="Times New Roman"/>
                <w:szCs w:val="15"/>
              </w:rPr>
              <w:t xml:space="preserve"> октября</w:t>
            </w:r>
            <w:r>
              <w:rPr>
                <w:rFonts w:eastAsia="Times New Roman"/>
                <w:szCs w:val="15"/>
                <w:lang w:val="ru-RU"/>
              </w:rPr>
              <w:t xml:space="preserve"> (перенос срока с 8 октября)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Статистика - Форма П-4 (с численностью 15 человек и менее)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4</w:t>
            </w:r>
            <w:r>
              <w:rPr>
                <w:rFonts w:eastAsia="Times New Roman"/>
                <w:szCs w:val="15"/>
                <w:lang w:val="ru-RU"/>
              </w:rPr>
              <w:t xml:space="preserve"> </w:t>
            </w:r>
            <w:r>
              <w:rPr>
                <w:rFonts w:eastAsia="Times New Roman"/>
                <w:szCs w:val="15"/>
              </w:rPr>
              <w:t>кв. 20</w:t>
            </w:r>
            <w:r>
              <w:rPr>
                <w:rFonts w:eastAsia="Times New Roman"/>
                <w:szCs w:val="15"/>
                <w:lang w:val="ru-RU"/>
              </w:rPr>
              <w:t>21</w:t>
            </w:r>
            <w:r>
              <w:rPr>
                <w:rFonts w:hint="default" w:eastAsia="Times New Roman"/>
                <w:szCs w:val="15"/>
                <w:lang w:val="ru-RU"/>
              </w:rPr>
              <w:t xml:space="preserve"> </w:t>
            </w:r>
            <w:r>
              <w:rPr>
                <w:rFonts w:eastAsia="Times New Roman"/>
                <w:szCs w:val="15"/>
              </w:rPr>
              <w:t>г.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  <w:lang w:val="ru-RU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eastAsia="Times New Roman"/>
                <w:szCs w:val="15"/>
                <w:lang w:val="ru-RU"/>
              </w:rPr>
              <w:t>7</w:t>
            </w:r>
            <w:r>
              <w:rPr>
                <w:rFonts w:eastAsia="Times New Roman"/>
                <w:szCs w:val="15"/>
              </w:rPr>
              <w:t xml:space="preserve"> января</w:t>
            </w:r>
            <w:r>
              <w:rPr>
                <w:rFonts w:eastAsia="Times New Roman"/>
                <w:szCs w:val="15"/>
                <w:lang w:val="ru-RU"/>
              </w:rPr>
              <w:t xml:space="preserve"> (перенос срока с 15 января)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15 апреля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2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15 июля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eastAsia="Times New Roman"/>
                <w:szCs w:val="15"/>
              </w:rPr>
            </w:pP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3 кв. 20</w:t>
            </w:r>
            <w:r>
              <w:rPr>
                <w:rFonts w:hint="default" w:eastAsia="Times New Roman"/>
                <w:szCs w:val="15"/>
                <w:lang w:val="ru-RU"/>
              </w:rPr>
              <w:t>22 г</w:t>
            </w:r>
            <w:r>
              <w:rPr>
                <w:rFonts w:eastAsia="Times New Roman"/>
                <w:szCs w:val="15"/>
              </w:rPr>
              <w:t>.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1</w:t>
            </w:r>
            <w:r>
              <w:rPr>
                <w:rFonts w:eastAsia="Times New Roman"/>
                <w:szCs w:val="15"/>
                <w:lang w:val="ru-RU"/>
              </w:rPr>
              <w:t>7</w:t>
            </w:r>
            <w:r>
              <w:rPr>
                <w:rFonts w:eastAsia="Times New Roman"/>
                <w:szCs w:val="15"/>
              </w:rPr>
              <w:t xml:space="preserve"> октября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206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Статистика - Форма П-4 (с численностью 16 человек и более)</w:t>
            </w:r>
          </w:p>
        </w:tc>
        <w:tc>
          <w:tcPr>
            <w:tcW w:w="437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Ежемесячно</w:t>
            </w:r>
          </w:p>
        </w:tc>
        <w:tc>
          <w:tcPr>
            <w:tcW w:w="3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До 15 числа месяца, следующего за отчетным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5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Уведомление в МВД (ФМС) о выплате заработной платы ВКС - ежеквартально не позднее последнего рабочего дня месяца, следующего за отчетным кварталом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5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46" w:type="dxa"/>
              <w:left w:w="83" w:type="dxa"/>
              <w:bottom w:w="46" w:type="dxa"/>
              <w:right w:w="83" w:type="dxa"/>
            </w:tcMar>
          </w:tcPr>
          <w:p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Форма ДСВ-3 - не позднее 20 дней со дня окончания квартала, в котором уплачивались дополнительные </w:t>
            </w:r>
            <w:r>
              <w:t>страховые взносы на накопительную</w:t>
            </w:r>
            <w:r>
              <w:rPr>
                <w:rFonts w:eastAsia="Times New Roman"/>
                <w:szCs w:val="15"/>
              </w:rPr>
              <w:t xml:space="preserve"> пенсию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3"/>
    <w:rsid w:val="007F7814"/>
    <w:rsid w:val="00823973"/>
    <w:rsid w:val="00CD49C9"/>
    <w:rsid w:val="38FE2181"/>
    <w:rsid w:val="6D56203B"/>
    <w:rsid w:val="7D1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643</Words>
  <Characters>3668</Characters>
  <Lines>30</Lines>
  <Paragraphs>8</Paragraphs>
  <TotalTime>31</TotalTime>
  <ScaleCrop>false</ScaleCrop>
  <LinksUpToDate>false</LinksUpToDate>
  <CharactersWithSpaces>4303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2019-06-23T07:00:00Z</dcterms:created>
  <dc:creator>1</dc:creator>
  <cp:lastModifiedBy>google1580108439</cp:lastModifiedBy>
  <dcterms:modified xsi:type="dcterms:W3CDTF">2021-11-21T07:46:57Z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