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Приказ от 31 декабря 2017 г. N 1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об учетной политике ООО «Радость»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соответствии с частью второй Налогового кодекса РФ, Федеральным законом от 06.12.2011 N 402-ФЗ «О бухгалтерском учете», Положением по бухгалтерскому учету «Учетная политика организации» (ПБУ 1/2008), утвержденным Приказом Минфина России от 06.10.2008 N 106н, иными нормативными актами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 р и к а з ы в а ю: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Утвердить Положение об учетной политике ООО «Радость» для целей бухгалтерского учета, приведенное в Приложении N 1 к настоящему Приказу.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Утвердить Положения об учетной политике ООО «Радость» для целей налогообложения, приведенное в Приложении N 2 к настоящему Приказу.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Установить, что данные Положения об учетной политике применяются с 1 января 2018 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Контроль за исполнением настоящего Приказа возложить на главного бухгалтера ООО «Радость».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Директор ООО «Радость» ---------- И.И. Иванов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