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bidi w:val="0"/>
      </w:pPr>
      <w:bookmarkStart w:id="0" w:name="_docStart_1"/>
      <w:bookmarkEnd w:id="0"/>
      <w:bookmarkStart w:id="1" w:name="_title_1"/>
      <w:bookmarkStart w:id="2" w:name="_ref_1-995e94a2e13549"/>
      <w:r>
        <w:rPr>
          <w:b/>
        </w:rPr>
        <w:t xml:space="preserve">ПРИКАЗ </w:t>
      </w:r>
      <w:r>
        <w:t>№</w:t>
      </w:r>
      <w:r>
        <w:rPr>
          <w:u w:val="single"/>
        </w:rPr>
        <w:t>       </w:t>
      </w:r>
      <w:bookmarkEnd w:id="1"/>
      <w:bookmarkEnd w:id="2"/>
    </w:p>
    <w:tbl>
      <w:tblPr>
        <w:tblStyle w:val="23"/>
        <w:tblW w:w="50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dxa"/>
            <w:vAlign w:val="top"/>
          </w:tcPr>
          <w:p>
            <w:pPr>
              <w:pStyle w:val="24"/>
              <w:keepNext/>
              <w:bidi w:val="0"/>
              <w:spacing w:before="120" w:after="120"/>
              <w:jc w:val="center"/>
              <w:rPr>
                <w:rStyle w:val="18"/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Об утверждении Учетной политики для целей налогообложения</w:t>
            </w:r>
          </w:p>
        </w:tc>
      </w:tr>
    </w:tbl>
    <w:p>
      <w:pPr>
        <w:bidi w:val="0"/>
      </w:pPr>
    </w:p>
    <w:tbl>
      <w:tblPr>
        <w:tblStyle w:val="23"/>
        <w:tblW w:w="50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0"/>
        <w:gridCol w:w="2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dxa"/>
            <w:vAlign w:val="top"/>
          </w:tcPr>
          <w:p>
            <w:pPr>
              <w:pStyle w:val="24"/>
              <w:keepNext/>
              <w:bidi w:val="0"/>
              <w:spacing w:before="120" w:after="120"/>
              <w:jc w:val="left"/>
              <w:rPr>
                <w:rStyle w:val="18"/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u w:val="single"/>
                <w:lang w:val="ru-RU"/>
              </w:rPr>
              <w:t>    (место составления)    </w:t>
            </w:r>
          </w:p>
        </w:tc>
        <w:tc>
          <w:tcPr>
            <w:tcW w:w="2500" w:type="dxa"/>
            <w:vAlign w:val="top"/>
          </w:tcPr>
          <w:p>
            <w:pPr>
              <w:pStyle w:val="24"/>
              <w:keepNext/>
              <w:bidi w:val="0"/>
              <w:spacing w:before="120" w:after="120"/>
              <w:jc w:val="right"/>
              <w:rPr>
                <w:rStyle w:val="18"/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u w:val="single"/>
                <w:lang w:val="ru-RU"/>
              </w:rPr>
              <w:t>    (дата подписания)    </w:t>
            </w:r>
          </w:p>
        </w:tc>
      </w:tr>
    </w:tbl>
    <w:p>
      <w:pPr>
        <w:bidi w:val="0"/>
      </w:pPr>
      <w:r>
        <w:rPr>
          <w:b/>
        </w:rPr>
        <w:t>ПРИКАЗЫВАЮ:</w:t>
      </w:r>
    </w:p>
    <w:p>
      <w:pPr>
        <w:bidi w:val="0"/>
      </w:pPr>
      <w:r>
        <w:t>1. Утвердить новую редакцию Учетной политики </w:t>
      </w:r>
      <w:r>
        <w:rPr>
          <w:u w:val="single"/>
        </w:rPr>
        <w:t>    (наименование организации)      </w:t>
      </w:r>
      <w:r>
        <w:t xml:space="preserve"> для целей налогообложения согласно приложению к настоящему приказу.</w:t>
      </w:r>
    </w:p>
    <w:p>
      <w:pPr>
        <w:bidi w:val="0"/>
      </w:pPr>
      <w:r>
        <w:t>2. Установить, что данная редакция Учетной политики, применяется с 29 сентября 2019 г.</w:t>
      </w:r>
    </w:p>
    <w:p>
      <w:pPr>
        <w:bidi w:val="0"/>
      </w:pPr>
      <w:r>
        <w:t xml:space="preserve">3. Возложить контроль за исполнением настоящего приказа на </w:t>
      </w:r>
      <w:r>
        <w:rPr>
          <w:u w:val="single"/>
        </w:rPr>
        <w:t>    (наименование должности и Ф.И.О. ответственного лица)    </w:t>
      </w:r>
      <w:r>
        <w:t>.</w:t>
      </w:r>
    </w:p>
    <w:p>
      <w:pPr>
        <w:bidi w:val="0"/>
      </w:pPr>
      <w:r>
        <w:t> </w:t>
      </w:r>
    </w:p>
    <w:p>
      <w:pPr>
        <w:bidi w:val="0"/>
      </w:pPr>
      <w:r>
        <w:t> </w:t>
      </w:r>
    </w:p>
    <w:p>
      <w:pPr>
        <w:bidi w:val="0"/>
      </w:pPr>
      <w:r>
        <w:t> </w:t>
      </w:r>
    </w:p>
    <w:tbl>
      <w:tblPr>
        <w:tblStyle w:val="23"/>
        <w:tblW w:w="50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0"/>
        <w:gridCol w:w="1700"/>
        <w:gridCol w:w="1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0" w:type="dxa"/>
            <w:vAlign w:val="top"/>
          </w:tcPr>
          <w:p>
            <w:pPr>
              <w:pStyle w:val="24"/>
              <w:keepNext/>
              <w:bidi w:val="0"/>
              <w:spacing w:before="120" w:after="120"/>
              <w:jc w:val="center"/>
              <w:rPr>
                <w:rStyle w:val="18"/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u w:val="single"/>
                <w:lang w:val="ru-RU"/>
              </w:rPr>
              <w:t>    (наименование должности руководителя)    </w:t>
            </w:r>
          </w:p>
          <w:p>
            <w:pPr>
              <w:pStyle w:val="24"/>
              <w:keepNext/>
              <w:bidi w:val="0"/>
              <w:spacing w:before="120" w:after="120"/>
              <w:jc w:val="center"/>
              <w:rPr>
                <w:rStyle w:val="18"/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 </w:t>
            </w:r>
          </w:p>
        </w:tc>
        <w:tc>
          <w:tcPr>
            <w:tcW w:w="1700" w:type="dxa"/>
            <w:vAlign w:val="top"/>
          </w:tcPr>
          <w:p>
            <w:pPr>
              <w:pStyle w:val="24"/>
              <w:keepNext/>
              <w:bidi w:val="0"/>
              <w:spacing w:before="120" w:after="120"/>
              <w:jc w:val="center"/>
              <w:rPr>
                <w:rStyle w:val="18"/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u w:val="single"/>
                <w:lang w:val="ru-RU"/>
              </w:rPr>
              <w:t>    (подпись)      </w:t>
            </w:r>
          </w:p>
          <w:p>
            <w:pPr>
              <w:pStyle w:val="24"/>
              <w:keepNext/>
              <w:bidi w:val="0"/>
              <w:spacing w:before="120" w:after="120"/>
              <w:jc w:val="center"/>
              <w:rPr>
                <w:rStyle w:val="18"/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 </w:t>
            </w:r>
          </w:p>
        </w:tc>
        <w:tc>
          <w:tcPr>
            <w:tcW w:w="1450" w:type="dxa"/>
            <w:vAlign w:val="top"/>
          </w:tcPr>
          <w:p>
            <w:pPr>
              <w:pStyle w:val="24"/>
              <w:keepNext/>
              <w:bidi w:val="0"/>
              <w:spacing w:before="120" w:after="120"/>
              <w:jc w:val="center"/>
              <w:rPr>
                <w:rStyle w:val="18"/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u w:val="single"/>
                <w:lang w:val="ru-RU"/>
              </w:rPr>
              <w:t>            (Ф.И.О.)            </w:t>
            </w:r>
          </w:p>
          <w:p>
            <w:pPr>
              <w:pStyle w:val="24"/>
              <w:keepNext/>
              <w:bidi w:val="0"/>
              <w:spacing w:before="120" w:after="120"/>
              <w:jc w:val="center"/>
              <w:rPr>
                <w:rStyle w:val="18"/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 </w:t>
            </w:r>
          </w:p>
        </w:tc>
      </w:tr>
    </w:tbl>
    <w:p>
      <w:pPr>
        <w:bidi w:val="0"/>
        <w:sectPr>
          <w:footerReference r:id="rId5" w:type="first"/>
          <w:headerReference r:id="rId3" w:type="default"/>
          <w:footerReference r:id="rId4" w:type="default"/>
          <w:footnotePr>
            <w:numRestart w:val="eachSect"/>
          </w:footnotePr>
          <w:pgSz w:w="11907" w:h="16839"/>
          <w:pgMar w:top="1134" w:right="850" w:bottom="1134" w:left="1701" w:header="720" w:footer="720" w:gutter="0"/>
          <w:pgNumType w:start="1"/>
          <w:cols w:space="720" w:num="1"/>
          <w:titlePg/>
        </w:sectPr>
      </w:pPr>
      <w:bookmarkStart w:id="3" w:name="_docEnd_1"/>
      <w:bookmarkEnd w:id="3"/>
    </w:p>
    <w:p>
      <w:pPr>
        <w:keepNext/>
        <w:keepLines/>
        <w:bidi w:val="0"/>
        <w:ind w:firstLine="0"/>
        <w:jc w:val="right"/>
      </w:pPr>
      <w:r>
        <w:t>Приложение</w:t>
      </w:r>
      <w:r>
        <w:br w:type="textWrapping"/>
      </w:r>
      <w:r>
        <w:t xml:space="preserve">к приказу от </w:t>
      </w:r>
      <w:r>
        <w:rPr>
          <w:u w:val="single"/>
        </w:rPr>
        <w:t>                      </w:t>
      </w:r>
      <w:r>
        <w:t xml:space="preserve"> №</w:t>
      </w:r>
      <w:r>
        <w:rPr>
          <w:u w:val="single"/>
        </w:rPr>
        <w:t>              </w:t>
      </w:r>
    </w:p>
    <w:p>
      <w:pPr>
        <w:pStyle w:val="15"/>
        <w:bidi w:val="0"/>
      </w:pPr>
      <w:bookmarkStart w:id="4" w:name="_docStart_2"/>
      <w:bookmarkEnd w:id="4"/>
      <w:bookmarkStart w:id="5" w:name="_title_2"/>
      <w:bookmarkStart w:id="6" w:name="_ref_1-50fc3fba9a884c"/>
    </w:p>
    <w:tbl>
      <w:tblPr>
        <w:tblStyle w:val="23"/>
        <w:tblW w:w="50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dxa"/>
            <w:vAlign w:val="top"/>
          </w:tcPr>
          <w:p>
            <w:pPr>
              <w:pStyle w:val="24"/>
              <w:keepNext/>
              <w:bidi w:val="0"/>
              <w:spacing w:before="120" w:after="120"/>
              <w:jc w:val="center"/>
              <w:rPr>
                <w:rStyle w:val="18"/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Учетная политика</w:t>
            </w:r>
          </w:p>
          <w:p>
            <w:pPr>
              <w:pStyle w:val="24"/>
              <w:keepNext/>
              <w:bidi w:val="0"/>
              <w:spacing w:before="120" w:after="120"/>
              <w:jc w:val="center"/>
              <w:rPr>
                <w:rStyle w:val="18"/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u w:val="single"/>
                <w:lang w:val="ru-RU"/>
              </w:rPr>
              <w:t xml:space="preserve">(наименование организации) </w:t>
            </w:r>
          </w:p>
          <w:p>
            <w:pPr>
              <w:pStyle w:val="24"/>
              <w:keepNext/>
              <w:bidi w:val="0"/>
              <w:spacing w:before="120" w:after="120"/>
              <w:jc w:val="center"/>
              <w:rPr>
                <w:rStyle w:val="18"/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 xml:space="preserve">для целей налогообложения </w:t>
            </w:r>
          </w:p>
        </w:tc>
      </w:tr>
      <w:bookmarkEnd w:id="5"/>
      <w:bookmarkEnd w:id="6"/>
    </w:tbl>
    <w:p>
      <w:pPr>
        <w:bidi w:val="0"/>
      </w:pPr>
    </w:p>
    <w:p>
      <w:pPr>
        <w:pStyle w:val="2"/>
        <w:numPr>
          <w:ilvl w:val="0"/>
          <w:numId w:val="3"/>
        </w:numPr>
        <w:bidi w:val="0"/>
      </w:pPr>
      <w:bookmarkStart w:id="7" w:name="_ref_1-0cade7e10ae742"/>
      <w:r>
        <w:t>Организационные положения</w:t>
      </w:r>
      <w:bookmarkEnd w:id="7"/>
    </w:p>
    <w:p>
      <w:pPr>
        <w:pStyle w:val="3"/>
        <w:bidi w:val="0"/>
      </w:pPr>
      <w:bookmarkStart w:id="8" w:name="_ref_1-2a62ce8331c247"/>
      <w:r>
        <w:rPr>
          <w:u w:val="single"/>
        </w:rPr>
        <w:t>    (наименование организации)    </w:t>
      </w:r>
      <w:r>
        <w:t xml:space="preserve"> (далее - организация) применяет упрощенную систему налогообложения. Организация осуществляет следующие виды деятельности:</w:t>
      </w:r>
      <w:bookmarkEnd w:id="8"/>
    </w:p>
    <w:p>
      <w:pPr>
        <w:pStyle w:val="37"/>
        <w:numPr>
          <w:ilvl w:val="1"/>
          <w:numId w:val="4"/>
        </w:numPr>
        <w:bidi w:val="0"/>
        <w:spacing w:after="0"/>
        <w:ind w:left="964"/>
        <w:jc w:val="both"/>
      </w:pPr>
      <w:r>
        <w:t>реализацию покупных товаров;</w:t>
      </w:r>
    </w:p>
    <w:p>
      <w:pPr>
        <w:pStyle w:val="37"/>
        <w:numPr>
          <w:ilvl w:val="1"/>
          <w:numId w:val="4"/>
        </w:numPr>
        <w:bidi w:val="0"/>
        <w:spacing w:after="0"/>
        <w:ind w:left="964"/>
        <w:jc w:val="both"/>
      </w:pPr>
      <w:r>
        <w:t>производство и реализацию собственной продукции;</w:t>
      </w:r>
    </w:p>
    <w:p>
      <w:pPr>
        <w:pStyle w:val="37"/>
        <w:numPr>
          <w:ilvl w:val="1"/>
          <w:numId w:val="4"/>
        </w:numPr>
        <w:bidi w:val="0"/>
        <w:spacing w:after="0"/>
        <w:ind w:left="964"/>
        <w:jc w:val="both"/>
      </w:pPr>
      <w:r>
        <w:t>выполнение работ;</w:t>
      </w:r>
    </w:p>
    <w:p>
      <w:pPr>
        <w:pStyle w:val="37"/>
        <w:numPr>
          <w:ilvl w:val="1"/>
          <w:numId w:val="4"/>
        </w:numPr>
        <w:bidi w:val="0"/>
        <w:spacing w:after="0"/>
        <w:ind w:left="964"/>
        <w:jc w:val="both"/>
      </w:pPr>
      <w:r>
        <w:t>оказание услуг;</w:t>
      </w:r>
    </w:p>
    <w:p>
      <w:pPr>
        <w:pStyle w:val="37"/>
        <w:numPr>
          <w:ilvl w:val="1"/>
          <w:numId w:val="4"/>
        </w:numPr>
        <w:bidi w:val="0"/>
        <w:spacing w:after="0"/>
        <w:ind w:left="964"/>
        <w:jc w:val="both"/>
      </w:pPr>
      <w:r>
        <w:rPr>
          <w:u w:val="single"/>
        </w:rPr>
        <w:t>        (вид (-ы) деятельности)          </w:t>
      </w:r>
      <w:r>
        <w:t>.</w:t>
      </w:r>
    </w:p>
    <w:p>
      <w:pPr>
        <w:pStyle w:val="3"/>
        <w:bidi w:val="0"/>
      </w:pPr>
      <w:bookmarkStart w:id="9" w:name="_ref_1-57b27e6212a146"/>
      <w:r>
        <w:t>Учет доходов и расходов для целей налогообложения ведет главный бухгалтер.</w:t>
      </w:r>
      <w:bookmarkEnd w:id="9"/>
    </w:p>
    <w:p>
      <w:pPr>
        <w:pStyle w:val="3"/>
        <w:bidi w:val="0"/>
      </w:pPr>
      <w:bookmarkStart w:id="10" w:name="_ref_1-404f2313929d4b"/>
      <w:r>
        <w:t xml:space="preserve">Учет доходов и расходов для целей налогообложения ведется автоматизированным способом с применением специализированной бухгалтерской программы </w:t>
      </w:r>
      <w:r>
        <w:rPr>
          <w:u w:val="single"/>
        </w:rPr>
        <w:t>    (наименование программы)    </w:t>
      </w:r>
      <w:r>
        <w:t>.</w:t>
      </w:r>
      <w:bookmarkEnd w:id="10"/>
    </w:p>
    <w:p>
      <w:pPr>
        <w:pStyle w:val="2"/>
        <w:bidi w:val="0"/>
      </w:pPr>
      <w:bookmarkStart w:id="11" w:name="_ref_1-dcc6cc64e04443"/>
      <w:r>
        <w:t>Упрощенная система налогообложения</w:t>
      </w:r>
      <w:bookmarkEnd w:id="11"/>
    </w:p>
    <w:p>
      <w:pPr>
        <w:pStyle w:val="3"/>
        <w:bidi w:val="0"/>
      </w:pPr>
      <w:bookmarkStart w:id="12" w:name="_ref_1-da31655720a042"/>
      <w:r>
        <w:t>Общие положения</w:t>
      </w:r>
      <w:bookmarkEnd w:id="12"/>
    </w:p>
    <w:p>
      <w:pPr>
        <w:pStyle w:val="4"/>
        <w:bidi w:val="0"/>
      </w:pPr>
      <w:bookmarkStart w:id="13" w:name="_ref_1-8db58550db624f"/>
      <w:r>
        <w:t>Организация применяет объект налогообложения "доходы, уменьшенные на величину расходов".</w:t>
      </w:r>
      <w:bookmarkEnd w:id="13"/>
    </w:p>
    <w:p>
      <w:pPr>
        <w:bidi w:val="0"/>
      </w:pPr>
      <w:r>
        <w:rPr>
          <w:i/>
        </w:rPr>
        <w:t xml:space="preserve">(Основание: </w:t>
      </w:r>
      <w:r>
        <w:rPr>
          <w:i/>
          <w:color w:val="auto"/>
          <w:u w:val="none"/>
        </w:rPr>
        <w:t>абз. 3 п. 1 ст. 346.14</w:t>
      </w:r>
      <w:r>
        <w:rPr>
          <w:i/>
        </w:rPr>
        <w:t xml:space="preserve"> НК РФ)</w:t>
      </w:r>
    </w:p>
    <w:p>
      <w:pPr>
        <w:pStyle w:val="4"/>
        <w:bidi w:val="0"/>
      </w:pPr>
      <w:bookmarkStart w:id="14" w:name="_ref_1-a57143b7fd7446"/>
      <w:r>
        <w:t>Суммы авансового платежа и налога, уплачиваемых в связи с применением упрощенной системы налогообложения, рассчитываются по ставке 15%.</w:t>
      </w:r>
      <w:bookmarkEnd w:id="14"/>
    </w:p>
    <w:p>
      <w:pPr>
        <w:bidi w:val="0"/>
      </w:pPr>
      <w:r>
        <w:t>(</w:t>
      </w:r>
      <w:r>
        <w:rPr>
          <w:i/>
        </w:rPr>
        <w:t xml:space="preserve">Основание: </w:t>
      </w:r>
      <w:r>
        <w:rPr>
          <w:i/>
          <w:color w:val="auto"/>
          <w:u w:val="none"/>
        </w:rPr>
        <w:t>п. 2 ст. 346.20</w:t>
      </w:r>
      <w:r>
        <w:rPr>
          <w:i/>
        </w:rPr>
        <w:t xml:space="preserve"> НК РФ)</w:t>
      </w:r>
    </w:p>
    <w:p>
      <w:pPr>
        <w:pStyle w:val="4"/>
        <w:bidi w:val="0"/>
      </w:pPr>
      <w:bookmarkStart w:id="15" w:name="_ref_1-c9e727efde6a44"/>
      <w:r>
        <w:t xml:space="preserve">Книга учета доходов и расходов организаций и индивидуальных предпринимателей, применяющих упрощенную систему налогообложения (далее - Книга), ведется в электронном виде. </w:t>
      </w:r>
      <w:r>
        <w:rPr>
          <w:color w:val="auto"/>
          <w:u w:val="none"/>
        </w:rPr>
        <w:t>Форма</w:t>
      </w:r>
      <w:r>
        <w:t xml:space="preserve"> Книги утверждена </w:t>
      </w:r>
      <w:r>
        <w:rPr>
          <w:color w:val="auto"/>
          <w:u w:val="none"/>
        </w:rPr>
        <w:t>Приказом</w:t>
      </w:r>
      <w:r>
        <w:t xml:space="preserve"> Минфина России от 22.10.2012 № 135н.</w:t>
      </w:r>
      <w:bookmarkEnd w:id="15"/>
    </w:p>
    <w:p>
      <w:pPr>
        <w:bidi w:val="0"/>
      </w:pPr>
      <w:r>
        <w:t>По окончании отчетного (налогового) периода Книга выводится на бумажные носители, прошнуровывается и пронумеровывается. На последней странице Книги указывается количество содержащихся в ней страниц, которое подтверждается подписью руководителя и скрепляется печатью организации (при ее наличии).</w:t>
      </w:r>
    </w:p>
    <w:p>
      <w:pPr>
        <w:bidi w:val="0"/>
      </w:pPr>
      <w:r>
        <w:t>На каждый очередной налоговый период открывается новая Книга.</w:t>
      </w:r>
    </w:p>
    <w:p>
      <w:pPr>
        <w:bidi w:val="0"/>
      </w:pPr>
      <w:r>
        <w:rPr>
          <w:i/>
        </w:rPr>
        <w:t xml:space="preserve">(Основание: </w:t>
      </w:r>
      <w:r>
        <w:rPr>
          <w:i/>
          <w:color w:val="auto"/>
          <w:u w:val="none"/>
        </w:rPr>
        <w:t>ст. 346.24</w:t>
      </w:r>
      <w:r>
        <w:rPr>
          <w:i/>
        </w:rPr>
        <w:t xml:space="preserve"> НК РФ, </w:t>
      </w:r>
      <w:r>
        <w:rPr>
          <w:i/>
          <w:color w:val="auto"/>
          <w:u w:val="none"/>
        </w:rPr>
        <w:t>п. п. 1.4</w:t>
      </w:r>
      <w:r>
        <w:rPr>
          <w:i/>
        </w:rPr>
        <w:t xml:space="preserve">, </w:t>
      </w:r>
      <w:r>
        <w:rPr>
          <w:i/>
          <w:color w:val="auto"/>
          <w:u w:val="none"/>
        </w:rPr>
        <w:t>1.5</w:t>
      </w:r>
      <w:r>
        <w:rPr>
          <w:i/>
        </w:rPr>
        <w:t xml:space="preserve"> Порядка заполнения книги учета доходов и расходов организаций и индивидуальных предпринимателей, применяющих упрощенную систему налогообложения (утв. </w:t>
      </w:r>
      <w:r>
        <w:rPr>
          <w:i/>
          <w:color w:val="auto"/>
          <w:u w:val="none"/>
        </w:rPr>
        <w:t>Приказом</w:t>
      </w:r>
      <w:r>
        <w:rPr>
          <w:i/>
        </w:rPr>
        <w:t xml:space="preserve"> Минфина России от 22.10.2012 № 135н))</w:t>
      </w:r>
    </w:p>
    <w:p>
      <w:pPr>
        <w:pStyle w:val="3"/>
        <w:bidi w:val="0"/>
      </w:pPr>
      <w:bookmarkStart w:id="16" w:name="_ref_1-d80a48ea006d4a"/>
      <w:r>
        <w:t>Учет товарно-материальных ценностей</w:t>
      </w:r>
      <w:bookmarkEnd w:id="16"/>
    </w:p>
    <w:p>
      <w:pPr>
        <w:pStyle w:val="4"/>
        <w:bidi w:val="0"/>
      </w:pPr>
      <w:bookmarkStart w:id="17" w:name="_ref_1-2c9379ccf8c949"/>
      <w:r>
        <w:t>При реализации покупных товаров организация для определения стоимости их приобретения применяет метод оценки по средней стоимости.</w:t>
      </w:r>
      <w:bookmarkEnd w:id="17"/>
    </w:p>
    <w:p>
      <w:pPr>
        <w:bidi w:val="0"/>
      </w:pPr>
      <w:r>
        <w:rPr>
          <w:i/>
        </w:rPr>
        <w:t xml:space="preserve">(Основание: абз. </w:t>
      </w:r>
      <w:r>
        <w:rPr>
          <w:i/>
          <w:color w:val="auto"/>
          <w:u w:val="none"/>
        </w:rPr>
        <w:t>4</w:t>
      </w:r>
      <w:r>
        <w:rPr>
          <w:i/>
        </w:rPr>
        <w:t xml:space="preserve"> </w:t>
      </w:r>
      <w:r>
        <w:rPr>
          <w:i/>
          <w:color w:val="auto"/>
          <w:u w:val="none"/>
        </w:rPr>
        <w:t>пп. 2 п. 2 ст. 346.17</w:t>
      </w:r>
      <w:r>
        <w:rPr>
          <w:i/>
        </w:rPr>
        <w:t xml:space="preserve"> НК РФ)</w:t>
      </w:r>
    </w:p>
    <w:p>
      <w:pPr>
        <w:pStyle w:val="4"/>
        <w:bidi w:val="0"/>
      </w:pPr>
      <w:bookmarkStart w:id="18" w:name="_ref_1-3732f613c10744"/>
      <w:r>
        <w:t xml:space="preserve">Расходы на приобретение ГСМ для служебных транспортных средств организация признает для целей налогообложения с учетом нормативов, установленных </w:t>
      </w:r>
      <w:r>
        <w:rPr>
          <w:color w:val="auto"/>
          <w:u w:val="none"/>
        </w:rPr>
        <w:t>Распоряжением</w:t>
      </w:r>
      <w:r>
        <w:t xml:space="preserve"> Минтранса России от 14.03.2008 № АМ-23-р.</w:t>
      </w:r>
      <w:bookmarkEnd w:id="18"/>
    </w:p>
    <w:p>
      <w:pPr>
        <w:bidi w:val="0"/>
      </w:pPr>
      <w:r>
        <w:rPr>
          <w:i/>
        </w:rPr>
        <w:t xml:space="preserve">(Основание: </w:t>
      </w:r>
      <w:r>
        <w:rPr>
          <w:i/>
          <w:color w:val="auto"/>
          <w:u w:val="none"/>
        </w:rPr>
        <w:t>п. 1 ст. 252</w:t>
      </w:r>
      <w:r>
        <w:rPr>
          <w:i/>
        </w:rPr>
        <w:t xml:space="preserve">, </w:t>
      </w:r>
      <w:r>
        <w:rPr>
          <w:i/>
          <w:color w:val="auto"/>
          <w:u w:val="none"/>
        </w:rPr>
        <w:t>пп. 12 п. 1</w:t>
      </w:r>
      <w:r>
        <w:rPr>
          <w:i/>
        </w:rPr>
        <w:t xml:space="preserve">, </w:t>
      </w:r>
      <w:r>
        <w:rPr>
          <w:i/>
          <w:color w:val="auto"/>
          <w:u w:val="none"/>
        </w:rPr>
        <w:t>п. 2 ст. 346.16</w:t>
      </w:r>
      <w:r>
        <w:rPr>
          <w:i/>
        </w:rPr>
        <w:t xml:space="preserve"> НК РФ, Письмо Минфина России от 17.11.2011 № </w:t>
      </w:r>
      <w:r>
        <w:rPr>
          <w:i/>
          <w:color w:val="auto"/>
          <w:u w:val="none"/>
        </w:rPr>
        <w:t>03-11-11/288</w:t>
      </w:r>
      <w:r>
        <w:rPr>
          <w:i/>
        </w:rPr>
        <w:t>)</w:t>
      </w:r>
    </w:p>
    <w:p>
      <w:pPr>
        <w:pStyle w:val="3"/>
        <w:bidi w:val="0"/>
      </w:pPr>
      <w:bookmarkStart w:id="19" w:name="_ref_1-31cc9d75999446"/>
      <w:r>
        <w:t>Учет расходов на ОС и НМА</w:t>
      </w:r>
      <w:bookmarkEnd w:id="19"/>
    </w:p>
    <w:p>
      <w:pPr>
        <w:pStyle w:val="4"/>
        <w:bidi w:val="0"/>
      </w:pPr>
      <w:bookmarkStart w:id="20" w:name="_ref_1-1c8b91fab62d42"/>
      <w:r>
        <w:t>Если организация в период применения упрощенной системы налогообложения приобретает основное средство и оплачивает его частями (в рассрочку), то расходы на его приобретение учитываются в следующем порядке.</w:t>
      </w:r>
      <w:bookmarkEnd w:id="20"/>
    </w:p>
    <w:p>
      <w:pPr>
        <w:bidi w:val="0"/>
      </w:pPr>
      <w:r>
        <w:t>В течение налогового периода суммы частичной оплаты принимаются в расходы равными долями за отчетные периоды.</w:t>
      </w:r>
    </w:p>
    <w:p>
      <w:pPr>
        <w:bidi w:val="0"/>
      </w:pPr>
      <w:r>
        <w:t>Указанные суммы отражаются в налоговом учете организации в последнее число отчетного (налогового) периода, начиная с того периода, в котором соблюдены следующие условия:</w:t>
      </w:r>
    </w:p>
    <w:p>
      <w:pPr>
        <w:bidi w:val="0"/>
      </w:pPr>
      <w:r>
        <w:t>- произведена оплата (частичная);</w:t>
      </w:r>
    </w:p>
    <w:p>
      <w:pPr>
        <w:bidi w:val="0"/>
      </w:pPr>
      <w:r>
        <w:t>- основное средство введено в эксплуатацию.</w:t>
      </w:r>
    </w:p>
    <w:p>
      <w:pPr>
        <w:bidi w:val="0"/>
      </w:pPr>
      <w:r>
        <w:rPr>
          <w:i/>
        </w:rPr>
        <w:t>(Основание:</w:t>
      </w:r>
      <w:r>
        <w:rPr>
          <w:i/>
          <w:color w:val="auto"/>
          <w:u w:val="none"/>
        </w:rPr>
        <w:t>пп. 1 п. 1</w:t>
      </w:r>
      <w:r>
        <w:rPr>
          <w:i/>
        </w:rPr>
        <w:t xml:space="preserve">, </w:t>
      </w:r>
      <w:r>
        <w:rPr>
          <w:i/>
          <w:color w:val="auto"/>
          <w:u w:val="none"/>
        </w:rPr>
        <w:t>пп. 1 п. 3</w:t>
      </w:r>
      <w:r>
        <w:rPr>
          <w:i/>
        </w:rPr>
        <w:t xml:space="preserve">, </w:t>
      </w:r>
      <w:r>
        <w:rPr>
          <w:i/>
          <w:color w:val="auto"/>
          <w:u w:val="none"/>
        </w:rPr>
        <w:t>абз. 8 п. 3 ст. 346.16</w:t>
      </w:r>
      <w:r>
        <w:rPr>
          <w:i/>
        </w:rPr>
        <w:t xml:space="preserve">, </w:t>
      </w:r>
      <w:r>
        <w:rPr>
          <w:i/>
          <w:color w:val="auto"/>
          <w:u w:val="none"/>
        </w:rPr>
        <w:t>пп. 4 п. 2 ст. 346.17</w:t>
      </w:r>
      <w:r>
        <w:rPr>
          <w:i/>
        </w:rPr>
        <w:t xml:space="preserve"> НК РФ)</w:t>
      </w:r>
    </w:p>
    <w:p>
      <w:pPr>
        <w:pStyle w:val="4"/>
        <w:bidi w:val="0"/>
      </w:pPr>
      <w:bookmarkStart w:id="21" w:name="_ref_1-6fbdddc21b4744"/>
      <w:r>
        <w:t>Налоговая база по налогу, подлежащему уплате при применении упрощенной системы налогообложения, пересчитывается организацией в случае реализации (передачи) ею основных средств и нематериальных активов до истечения следующих сроков:</w:t>
      </w:r>
      <w:bookmarkEnd w:id="21"/>
    </w:p>
    <w:p>
      <w:pPr>
        <w:bidi w:val="0"/>
      </w:pPr>
      <w:r>
        <w:t>- трех лет с момента учета расходов на приобретение (сооружение, изготовление, достройку, дооборудование, реконструкцию, модернизацию и техническое перевооружение, а также создание самой организацией) - в отношении основных средств и нематериальных активов со сроком полезного использования до 15 лет включительно;</w:t>
      </w:r>
    </w:p>
    <w:p>
      <w:pPr>
        <w:bidi w:val="0"/>
      </w:pPr>
      <w:r>
        <w:t>- десяти лет с момента приобретения (сооружения, изготовления, создания самой организацией) - в отношении основных средств и нематериальных активов со сроком полезного использования свыше 15 лет.</w:t>
      </w:r>
    </w:p>
    <w:p>
      <w:pPr>
        <w:bidi w:val="0"/>
      </w:pPr>
      <w:r>
        <w:t xml:space="preserve">Налоговая база пересчитывается за весь период пользования указанными основными средствами и нематериальными активами с момента их учета в составе расходов на приобретение (сооружение, изготовление, достройку, дооборудование, реконструкцию, модернизацию и техническое перевооружение, а также создание самой организацией) до даты реализации (передачи) с учетом положений </w:t>
      </w:r>
      <w:r>
        <w:rPr>
          <w:color w:val="auto"/>
          <w:u w:val="none"/>
        </w:rPr>
        <w:t>гл. 25</w:t>
      </w:r>
      <w:r>
        <w:t xml:space="preserve"> НК РФ.</w:t>
      </w:r>
    </w:p>
    <w:p>
      <w:pPr>
        <w:bidi w:val="0"/>
      </w:pPr>
      <w:r>
        <w:t>Для этого последовательно осуществляются следующие операции.</w:t>
      </w:r>
    </w:p>
    <w:p>
      <w:pPr>
        <w:bidi w:val="0"/>
      </w:pPr>
      <w:r>
        <w:t xml:space="preserve">1. Из налоговой базы за все отчетные (налоговые) периоды, в которых по правилам </w:t>
      </w:r>
      <w:r>
        <w:rPr>
          <w:color w:val="auto"/>
          <w:u w:val="none"/>
        </w:rPr>
        <w:t>гл. 26.2</w:t>
      </w:r>
      <w:r>
        <w:t xml:space="preserve"> НК РФ были учтены расходы по указанным основным средствам (нематериальным активам), вычитаются учтенные расходы на их приобретение (сооружение, изготовление, достройку, дооборудование, реконструкцию, модернизацию и техническое перевооружение, создание самой организацией).</w:t>
      </w:r>
    </w:p>
    <w:p>
      <w:pPr>
        <w:bidi w:val="0"/>
      </w:pPr>
      <w:r>
        <w:t xml:space="preserve">2. Рассчитывается сумма амортизации по реализованным (переданным) основным средствам (нематериальным активам) за период с момента их учета в составе расходов до даты реализации (передачи). Расчет суммы амортизации осуществляется в соответствии со </w:t>
      </w:r>
      <w:r>
        <w:rPr>
          <w:color w:val="auto"/>
          <w:u w:val="none"/>
        </w:rPr>
        <w:t>ст. ст. 256</w:t>
      </w:r>
      <w:r>
        <w:t xml:space="preserve"> – </w:t>
      </w:r>
      <w:r>
        <w:rPr>
          <w:color w:val="auto"/>
          <w:u w:val="none"/>
        </w:rPr>
        <w:t>259.3</w:t>
      </w:r>
      <w:r>
        <w:t xml:space="preserve"> НК РФ выбранным организацией методом (линейным или нелинейным).</w:t>
      </w:r>
    </w:p>
    <w:p>
      <w:pPr>
        <w:bidi w:val="0"/>
      </w:pPr>
      <w:r>
        <w:t>3. Сумма амортизации учитывается в отчетных (налоговых) периодах, в течение которых организация пользовалась такими основными средствами (нематериальными активами) с момента учета в составе расходов до даты их реализации (передачи), в приходящихся на соответствующие отчетные (налоговые) периоды суммах.</w:t>
      </w:r>
    </w:p>
    <w:p>
      <w:pPr>
        <w:bidi w:val="0"/>
      </w:pPr>
      <w:r>
        <w:t>4. Пересчитывается и уплачивается подлежащий доплате налог, а также пени (при их наличии).</w:t>
      </w:r>
    </w:p>
    <w:p>
      <w:pPr>
        <w:bidi w:val="0"/>
      </w:pPr>
      <w:r>
        <w:t>5. Представляются уточненные декларации по налогу, уплачиваемому в связи с применением упрощенной системы налогообложения, за те налоговые периоды, за которые произведен перерасчет.</w:t>
      </w:r>
    </w:p>
    <w:p>
      <w:pPr>
        <w:bidi w:val="0"/>
      </w:pPr>
      <w:r>
        <w:rPr>
          <w:i/>
        </w:rPr>
        <w:t xml:space="preserve">(Основание: </w:t>
      </w:r>
      <w:r>
        <w:rPr>
          <w:i/>
          <w:color w:val="auto"/>
          <w:u w:val="none"/>
        </w:rPr>
        <w:t>ст. ст. 256</w:t>
      </w:r>
      <w:r>
        <w:rPr>
          <w:i/>
        </w:rPr>
        <w:t xml:space="preserve"> – </w:t>
      </w:r>
      <w:r>
        <w:rPr>
          <w:i/>
          <w:color w:val="auto"/>
          <w:u w:val="none"/>
        </w:rPr>
        <w:t>259.3</w:t>
      </w:r>
      <w:r>
        <w:rPr>
          <w:i/>
        </w:rPr>
        <w:t xml:space="preserve">, </w:t>
      </w:r>
      <w:r>
        <w:rPr>
          <w:i/>
          <w:color w:val="auto"/>
          <w:u w:val="none"/>
        </w:rPr>
        <w:t>абз. 14 п. 3 ст. 346.16</w:t>
      </w:r>
      <w:r>
        <w:rPr>
          <w:i/>
        </w:rPr>
        <w:t xml:space="preserve"> НК РФ, Письма Минфина России от 13.02.2015 № </w:t>
      </w:r>
      <w:r>
        <w:rPr>
          <w:i/>
          <w:color w:val="auto"/>
          <w:u w:val="none"/>
        </w:rPr>
        <w:t>03-11-06/2/6557</w:t>
      </w:r>
      <w:r>
        <w:rPr>
          <w:i/>
        </w:rPr>
        <w:t xml:space="preserve">, от 14.04.2014 № </w:t>
      </w:r>
      <w:r>
        <w:rPr>
          <w:i/>
          <w:color w:val="auto"/>
          <w:u w:val="none"/>
        </w:rPr>
        <w:t>03-11-06/2/16837</w:t>
      </w:r>
      <w:r>
        <w:rPr>
          <w:i/>
        </w:rPr>
        <w:t xml:space="preserve">, </w:t>
      </w:r>
      <w:r>
        <w:rPr>
          <w:i/>
          <w:color w:val="auto"/>
          <w:u w:val="none"/>
        </w:rPr>
        <w:t>п. 2</w:t>
      </w:r>
      <w:r>
        <w:rPr>
          <w:i/>
        </w:rPr>
        <w:t xml:space="preserve"> Письма ФНС России от 14.12.2006 № 02-6-10/233@)</w:t>
      </w:r>
    </w:p>
    <w:p>
      <w:pPr>
        <w:pStyle w:val="3"/>
        <w:bidi w:val="0"/>
      </w:pPr>
      <w:bookmarkStart w:id="22" w:name="_ref_1-05957a21eff842"/>
      <w:r>
        <w:t>Учет иных сумм, уменьшающих налоговую базу</w:t>
      </w:r>
      <w:bookmarkEnd w:id="22"/>
    </w:p>
    <w:p>
      <w:pPr>
        <w:pStyle w:val="4"/>
        <w:bidi w:val="0"/>
      </w:pPr>
      <w:bookmarkStart w:id="23" w:name="_ref_1-e13080bfb1284f"/>
      <w:r>
        <w:t>Организация применяет право на уменьшение исчисленной по итогам налогового периода налоговой базы на сумму убытка, полученного по итогам предыдущих налоговых периодов.</w:t>
      </w:r>
      <w:bookmarkEnd w:id="23"/>
    </w:p>
    <w:p>
      <w:pPr>
        <w:bidi w:val="0"/>
      </w:pPr>
      <w:r>
        <w:t xml:space="preserve">Под убытком понимается превышение расходов, определяемых по правилам </w:t>
      </w:r>
      <w:r>
        <w:rPr>
          <w:color w:val="auto"/>
          <w:u w:val="none"/>
        </w:rPr>
        <w:t>ст. 346.16</w:t>
      </w:r>
      <w:r>
        <w:t xml:space="preserve"> НК РФ, над доходами, определяемыми по правилам </w:t>
      </w:r>
      <w:r>
        <w:rPr>
          <w:color w:val="auto"/>
          <w:u w:val="none"/>
        </w:rPr>
        <w:t>ст. 346.15</w:t>
      </w:r>
      <w:r>
        <w:t xml:space="preserve"> НК РФ.</w:t>
      </w:r>
    </w:p>
    <w:p>
      <w:pPr>
        <w:bidi w:val="0"/>
      </w:pPr>
      <w:r>
        <w:t>К уменьшению принимается убыток, образовавшийся в налоговых периодах, в которых организация применяла упрощенную систему налогообложения и использовала в качестве объекта налогообложения доходы, уменьшенные на величину расходов. Убыток, понесенный организацией при применении иных режимов налогообложения, не принимается.</w:t>
      </w:r>
    </w:p>
    <w:p>
      <w:pPr>
        <w:bidi w:val="0"/>
      </w:pPr>
      <w:r>
        <w:t>Перенос убытка осуществляется на будущие налоговые периоды в течение 10 лет, следующих за тем налоговым периодом, в котором получен этот убыток.</w:t>
      </w:r>
    </w:p>
    <w:p>
      <w:pPr>
        <w:bidi w:val="0"/>
      </w:pPr>
      <w:r>
        <w:t>На текущий налоговый период переносится сумма убытка, образовавшегося в предыдущем налоговом периоде.</w:t>
      </w:r>
    </w:p>
    <w:p>
      <w:pPr>
        <w:bidi w:val="0"/>
      </w:pPr>
      <w:r>
        <w:t>Если убыток не перенесен на следующий год, он может быть перенесен целиком или частично на любой год из последующих девяти лет.</w:t>
      </w:r>
    </w:p>
    <w:p>
      <w:pPr>
        <w:bidi w:val="0"/>
      </w:pPr>
      <w:r>
        <w:t>Если у организации были убытки более чем в одном налоговом периоде, перенос таких убытков на будущие налоговые периоды производится в той очередности, в которой они получены.</w:t>
      </w:r>
    </w:p>
    <w:p>
      <w:pPr>
        <w:bidi w:val="0"/>
      </w:pPr>
      <w:r>
        <w:t>Организация хранит документы, подтверждающие объем понесенного убытка и сумму, на которую была уменьшена налоговая база по каждому налоговому периоду, в течение всего срока использования права на уменьшение налоговой базы на сумму убытка.</w:t>
      </w:r>
    </w:p>
    <w:p>
      <w:pPr>
        <w:bidi w:val="0"/>
      </w:pPr>
      <w:r>
        <w:rPr>
          <w:i/>
        </w:rPr>
        <w:t xml:space="preserve">(Основание: </w:t>
      </w:r>
      <w:r>
        <w:rPr>
          <w:i/>
          <w:color w:val="auto"/>
          <w:u w:val="none"/>
        </w:rPr>
        <w:t>п. 7 ст. 346.18</w:t>
      </w:r>
      <w:r>
        <w:rPr>
          <w:i/>
        </w:rPr>
        <w:t xml:space="preserve"> НК РФ)</w:t>
      </w:r>
    </w:p>
    <w:p>
      <w:pPr>
        <w:pStyle w:val="4"/>
        <w:bidi w:val="0"/>
      </w:pPr>
      <w:bookmarkStart w:id="24" w:name="_ref_1-01e59a28b1984a"/>
      <w:r>
        <w:t xml:space="preserve">Если организация уплатила минимальный налог в порядке, установленном в </w:t>
      </w:r>
      <w:r>
        <w:rPr>
          <w:color w:val="auto"/>
          <w:u w:val="none"/>
        </w:rPr>
        <w:t>п. 6 ст. 346.18</w:t>
      </w:r>
      <w:r>
        <w:t xml:space="preserve"> НК РФ, то в следующие налоговые периоды она применяет право при исчислении налоговой базы включить в расходы разницу между суммой уплаченного минимального налога и суммой налога, исчисленного в общем порядке.</w:t>
      </w:r>
      <w:bookmarkEnd w:id="24"/>
    </w:p>
    <w:p>
      <w:pPr>
        <w:bidi w:val="0"/>
      </w:pPr>
      <w:r>
        <w:t xml:space="preserve">Организация также вправе увеличить на сумму указанной разницы сумму убытков, которые могут быть перенесены на будущее в соответствие с положениями </w:t>
      </w:r>
      <w:r>
        <w:rPr>
          <w:color w:val="auto"/>
          <w:u w:val="none"/>
        </w:rPr>
        <w:t>п. 7 ст. 346.18</w:t>
      </w:r>
      <w:r>
        <w:t xml:space="preserve"> НК РФ.</w:t>
      </w:r>
    </w:p>
    <w:p>
      <w:pPr>
        <w:bidi w:val="0"/>
      </w:pPr>
      <w:r>
        <w:rPr>
          <w:i/>
        </w:rPr>
        <w:t xml:space="preserve">(Основание: </w:t>
      </w:r>
      <w:r>
        <w:rPr>
          <w:i/>
          <w:color w:val="auto"/>
          <w:u w:val="none"/>
        </w:rPr>
        <w:t>абз. 4 п. 6 ст. 346.18</w:t>
      </w:r>
      <w:r>
        <w:rPr>
          <w:i/>
        </w:rPr>
        <w:t xml:space="preserve"> НК РФ)</w:t>
      </w:r>
    </w:p>
    <w:p>
      <w:pPr>
        <w:pStyle w:val="2"/>
        <w:bidi w:val="0"/>
      </w:pPr>
      <w:bookmarkStart w:id="25" w:name="_ref_1-55969c953a6941"/>
      <w:r>
        <w:t>Налог на доходы физических лиц</w:t>
      </w:r>
      <w:bookmarkEnd w:id="25"/>
    </w:p>
    <w:p>
      <w:pPr>
        <w:pStyle w:val="3"/>
        <w:bidi w:val="0"/>
      </w:pPr>
      <w:bookmarkStart w:id="26" w:name="_ref_1-d6333a7c1bc34c"/>
      <w:r>
        <w:t>Учет доходов, выплаченных физическим лицам, в отношении которых организация выступает в качестве налогового агента, предоставленных налоговых вычетов, а также сумм исчисленного и удержанного с них НДФЛ ведется в налоговом регистре, форма которого приведена в Приложении № </w:t>
      </w:r>
      <w:r>
        <w:rPr>
          <w:u w:val="single"/>
        </w:rPr>
        <w:t>       </w:t>
      </w:r>
      <w:r>
        <w:t xml:space="preserve"> к учетной политике.</w:t>
      </w:r>
      <w:bookmarkEnd w:id="26"/>
    </w:p>
    <w:p>
      <w:pPr>
        <w:bidi w:val="0"/>
      </w:pPr>
      <w:r>
        <w:rPr>
          <w:i/>
        </w:rPr>
        <w:t xml:space="preserve">(Основание: </w:t>
      </w:r>
      <w:r>
        <w:rPr>
          <w:i/>
          <w:color w:val="auto"/>
          <w:u w:val="none"/>
        </w:rPr>
        <w:t>п. 1 ст. 230</w:t>
      </w:r>
      <w:r>
        <w:rPr>
          <w:i/>
        </w:rPr>
        <w:t xml:space="preserve"> НК РФ)</w:t>
      </w:r>
    </w:p>
    <w:p>
      <w:pPr>
        <w:pStyle w:val="2"/>
        <w:bidi w:val="0"/>
      </w:pPr>
      <w:bookmarkStart w:id="27" w:name="_ref_1-5adda1d4574b47"/>
      <w:r>
        <w:t>Страховые взносы</w:t>
      </w:r>
      <w:bookmarkEnd w:id="27"/>
    </w:p>
    <w:p>
      <w:pPr>
        <w:pStyle w:val="3"/>
        <w:bidi w:val="0"/>
      </w:pPr>
      <w:bookmarkStart w:id="28" w:name="_ref_1-450db352863949"/>
      <w:r>
        <w:t xml:space="preserve">Учет сумм начисленных выплат и иных вознаграждений, а также относящихся к ним сумм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 по каждому физическому лицу, в пользу которого осуществлялись выплаты и в отношении которого организация выступает плательщиком, ведется в регистрах учета, форма которых приведена в Приложении № </w:t>
      </w:r>
      <w:r>
        <w:rPr>
          <w:u w:val="single"/>
        </w:rPr>
        <w:t>       </w:t>
      </w:r>
      <w:r>
        <w:t xml:space="preserve"> к учетной политике.</w:t>
      </w:r>
      <w:bookmarkEnd w:id="28"/>
    </w:p>
    <w:p>
      <w:pPr>
        <w:bidi w:val="0"/>
      </w:pPr>
      <w:r>
        <w:rPr>
          <w:i/>
        </w:rPr>
        <w:t xml:space="preserve">(Основание: </w:t>
      </w:r>
      <w:r>
        <w:rPr>
          <w:i/>
          <w:color w:val="auto"/>
          <w:u w:val="none"/>
        </w:rPr>
        <w:t>пп. 2 п. 3.4 ст. 23</w:t>
      </w:r>
      <w:r>
        <w:rPr>
          <w:i/>
        </w:rPr>
        <w:t xml:space="preserve">, </w:t>
      </w:r>
      <w:r>
        <w:rPr>
          <w:i/>
          <w:color w:val="auto"/>
          <w:u w:val="none"/>
        </w:rPr>
        <w:t>п.</w:t>
      </w:r>
      <w:bookmarkStart w:id="30" w:name="_GoBack"/>
      <w:bookmarkEnd w:id="30"/>
      <w:r>
        <w:rPr>
          <w:i/>
          <w:color w:val="auto"/>
          <w:u w:val="none"/>
        </w:rPr>
        <w:t xml:space="preserve"> п. 4</w:t>
      </w:r>
      <w:r>
        <w:rPr>
          <w:i/>
        </w:rPr>
        <w:t xml:space="preserve">, </w:t>
      </w:r>
      <w:r>
        <w:rPr>
          <w:i/>
          <w:color w:val="auto"/>
          <w:u w:val="none"/>
        </w:rPr>
        <w:t>6 ст. 431</w:t>
      </w:r>
      <w:r>
        <w:rPr>
          <w:i/>
        </w:rPr>
        <w:t xml:space="preserve"> НК РФ)</w:t>
      </w:r>
      <w:bookmarkStart w:id="29" w:name="_docEnd_2"/>
      <w:bookmarkEnd w:id="29"/>
    </w:p>
    <w:sectPr>
      <w:footerReference r:id="rId8" w:type="first"/>
      <w:headerReference r:id="rId6" w:type="default"/>
      <w:footerReference r:id="rId7" w:type="default"/>
      <w:footnotePr>
        <w:numRestart w:val="eachSect"/>
      </w:footnotePr>
      <w:pgSz w:w="11907" w:h="16839"/>
      <w:pgMar w:top="1134" w:right="850" w:bottom="1134" w:left="1701" w:header="720" w:footer="720" w:gutter="0"/>
      <w:pgNumType w:start="1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bidi w:val="0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>
      <w:t>1</w:t>
    </w:r>
    <w:r>
      <w:fldChar w:fldCharType="end"/>
    </w:r>
    <w:r>
      <w:t xml:space="preserve"> из </w:t>
    </w:r>
    <w:r>
      <w:fldChar w:fldCharType="begin"/>
    </w:r>
    <w:r>
      <w:instrText xml:space="preserve"> SECTIONPAGES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bidi w:val="0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>
      <w:t>1</w:t>
    </w:r>
    <w:r>
      <w:fldChar w:fldCharType="end"/>
    </w:r>
    <w:r>
      <w:t xml:space="preserve"> из </w:t>
    </w:r>
    <w:r>
      <w:fldChar w:fldCharType="begin"/>
    </w:r>
    <w:r>
      <w:instrText xml:space="preserve"> SECTIONPAGES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bidi w:val="0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>
      <w:t>1</w:t>
    </w:r>
    <w:r>
      <w:fldChar w:fldCharType="end"/>
    </w:r>
    <w:r>
      <w:t xml:space="preserve"> из </w:t>
    </w:r>
    <w:r>
      <w:fldChar w:fldCharType="begin"/>
    </w:r>
    <w:r>
      <w:instrText xml:space="preserve"> SECTIONPAGES </w:instrText>
    </w:r>
    <w:r>
      <w:fldChar w:fldCharType="separate"/>
    </w:r>
    <w: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bidi w:val="0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>
      <w:t>1</w:t>
    </w:r>
    <w:r>
      <w:fldChar w:fldCharType="end"/>
    </w:r>
    <w:r>
      <w:t xml:space="preserve"> из </w:t>
    </w:r>
    <w:r>
      <w:fldChar w:fldCharType="begin"/>
    </w:r>
    <w:r>
      <w:instrText xml:space="preserve"> SECTIONPAGES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bidi w:val="0"/>
    </w:pPr>
    <w:r>
      <w:t>ПРИКАЗ №</w:t>
    </w:r>
    <w:r>
      <w:rPr>
        <w:u w:val="single"/>
      </w:rPr>
      <w:t>         </w:t>
    </w:r>
    <w:r>
      <w:br w:type="textWrapping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bidi w:val="0"/>
    </w:pPr>
    <w:r>
      <w:t xml:space="preserve">Учетная политика для целей налогообложения </w:t>
    </w:r>
    <w:r>
      <w:br w:type="textWrapping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 w:tentative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1">
    <w:nsid w:val="4F3F7700"/>
    <w:multiLevelType w:val="multilevel"/>
    <w:tmpl w:val="4F3F7700"/>
    <w:lvl w:ilvl="0" w:tentative="0">
      <w:start w:val="1"/>
      <w:numFmt w:val="decimal"/>
      <w:pStyle w:val="26"/>
      <w:suff w:val="space"/>
      <w:lvlText w:val="%1."/>
      <w:lvlJc w:val="left"/>
      <w:rPr>
        <w:rFonts w:hint="default"/>
      </w:rPr>
    </w:lvl>
    <w:lvl w:ilvl="1" w:tentative="0">
      <w:start w:val="1"/>
      <w:numFmt w:val="decimal"/>
      <w:pStyle w:val="28"/>
      <w:suff w:val="space"/>
      <w:lvlText w:val="%1.%2."/>
      <w:lvlJc w:val="left"/>
      <w:rPr>
        <w:rFonts w:hint="default"/>
      </w:rPr>
    </w:lvl>
    <w:lvl w:ilvl="2" w:tentative="0">
      <w:start w:val="1"/>
      <w:numFmt w:val="decimal"/>
      <w:pStyle w:val="29"/>
      <w:suff w:val="space"/>
      <w:lvlText w:val="%1.%2.%3."/>
      <w:lvlJc w:val="left"/>
      <w:rPr>
        <w:rFonts w:hint="default"/>
      </w:rPr>
    </w:lvl>
    <w:lvl w:ilvl="3" w:tentative="0">
      <w:start w:val="1"/>
      <w:numFmt w:val="decimal"/>
      <w:pStyle w:val="30"/>
      <w:suff w:val="space"/>
      <w:lvlText w:val="%1.%2.%3.%4."/>
      <w:lvlJc w:val="left"/>
      <w:rPr>
        <w:rFonts w:hint="default"/>
      </w:rPr>
    </w:lvl>
    <w:lvl w:ilvl="4" w:tentative="0">
      <w:start w:val="1"/>
      <w:numFmt w:val="decimal"/>
      <w:pStyle w:val="31"/>
      <w:suff w:val="space"/>
      <w:lvlText w:val="%1.%2.%3.%4.%5."/>
      <w:lvlJc w:val="left"/>
      <w:rPr>
        <w:rFonts w:hint="default"/>
      </w:rPr>
    </w:lvl>
    <w:lvl w:ilvl="5" w:tentative="0">
      <w:start w:val="1"/>
      <w:numFmt w:val="decimal"/>
      <w:pStyle w:val="32"/>
      <w:suff w:val="space"/>
      <w:lvlText w:val="%1.%2.%3.%4.%5.%6."/>
      <w:lvlJc w:val="left"/>
      <w:rPr>
        <w:rFonts w:hint="default"/>
      </w:rPr>
    </w:lvl>
    <w:lvl w:ilvl="6" w:tentative="0">
      <w:start w:val="1"/>
      <w:numFmt w:val="decimal"/>
      <w:pStyle w:val="33"/>
      <w:suff w:val="space"/>
      <w:lvlText w:val="%1.%2.%3.%4.%5.%6.%7."/>
      <w:lvlJc w:val="left"/>
      <w:rPr>
        <w:rFonts w:hint="default"/>
      </w:rPr>
    </w:lvl>
    <w:lvl w:ilvl="7" w:tentative="0">
      <w:start w:val="1"/>
      <w:numFmt w:val="decimal"/>
      <w:pStyle w:val="34"/>
      <w:suff w:val="space"/>
      <w:lvlText w:val="%1.%2.%3.%4.%5.%6.%7.%8."/>
      <w:lvlJc w:val="left"/>
      <w:rPr>
        <w:rFonts w:hint="default"/>
      </w:rPr>
    </w:lvl>
    <w:lvl w:ilvl="8" w:tentative="0">
      <w:start w:val="1"/>
      <w:numFmt w:val="decimal"/>
      <w:pStyle w:val="35"/>
      <w:suff w:val="space"/>
      <w:lvlText w:val="%1.%2.%3.%4.%5.%6.%7.%8.%9."/>
      <w:lvlJc w:val="left"/>
      <w:rPr>
        <w:rFonts w:hint="default"/>
      </w:rPr>
    </w:lvl>
  </w:abstractNum>
  <w:abstractNum w:abstractNumId="2">
    <w:nsid w:val="4F3F770A"/>
    <w:multiLevelType w:val="multilevel"/>
    <w:tmpl w:val="4F3F770A"/>
    <w:lvl w:ilvl="0" w:tentative="0">
      <w:start w:val="1"/>
      <w:numFmt w:val="decimal"/>
      <w:pStyle w:val="2"/>
      <w:suff w:val="space"/>
      <w:lvlText w:val="%1."/>
      <w:lvlJc w:val="left"/>
      <w:rPr>
        <w:rFonts w:hint="default"/>
      </w:rPr>
    </w:lvl>
    <w:lvl w:ilvl="1" w:tentative="0">
      <w:start w:val="1"/>
      <w:numFmt w:val="decimal"/>
      <w:pStyle w:val="3"/>
      <w:suff w:val="space"/>
      <w:lvlText w:val="%1.%2."/>
      <w:lvlJc w:val="left"/>
      <w:rPr>
        <w:rFonts w:hint="default"/>
      </w:rPr>
    </w:lvl>
    <w:lvl w:ilvl="2" w:tentative="0">
      <w:start w:val="1"/>
      <w:numFmt w:val="decimal"/>
      <w:pStyle w:val="4"/>
      <w:suff w:val="space"/>
      <w:lvlText w:val="%1.%2.%3."/>
      <w:lvlJc w:val="left"/>
      <w:rPr>
        <w:rFonts w:hint="default"/>
      </w:rPr>
    </w:lvl>
    <w:lvl w:ilvl="3" w:tentative="0">
      <w:start w:val="1"/>
      <w:numFmt w:val="decimal"/>
      <w:pStyle w:val="5"/>
      <w:suff w:val="space"/>
      <w:lvlText w:val="%1.%2.%3.%4."/>
      <w:lvlJc w:val="left"/>
      <w:rPr>
        <w:rFonts w:hint="default"/>
      </w:rPr>
    </w:lvl>
    <w:lvl w:ilvl="4" w:tentative="0">
      <w:start w:val="1"/>
      <w:numFmt w:val="decimal"/>
      <w:pStyle w:val="6"/>
      <w:suff w:val="space"/>
      <w:lvlText w:val="%1.%2.%3.%4.%5."/>
      <w:lvlJc w:val="left"/>
      <w:rPr>
        <w:rFonts w:hint="default"/>
      </w:rPr>
    </w:lvl>
    <w:lvl w:ilvl="5" w:tentative="0">
      <w:start w:val="1"/>
      <w:numFmt w:val="decimal"/>
      <w:pStyle w:val="7"/>
      <w:suff w:val="space"/>
      <w:lvlText w:val="%1.%2.%3.%4.%5.%6."/>
      <w:lvlJc w:val="left"/>
      <w:rPr>
        <w:rFonts w:hint="default"/>
      </w:rPr>
    </w:lvl>
    <w:lvl w:ilvl="6" w:tentative="0">
      <w:start w:val="1"/>
      <w:numFmt w:val="decimal"/>
      <w:pStyle w:val="8"/>
      <w:suff w:val="space"/>
      <w:lvlText w:val="%1.%2.%3.%4.%5.%6.%7."/>
      <w:lvlJc w:val="left"/>
      <w:rPr>
        <w:rFonts w:hint="default"/>
      </w:rPr>
    </w:lvl>
    <w:lvl w:ilvl="7" w:tentative="0">
      <w:start w:val="1"/>
      <w:numFmt w:val="decimal"/>
      <w:pStyle w:val="9"/>
      <w:suff w:val="space"/>
      <w:lvlText w:val="%1.%2.%3.%4.%5.%6.%7.%8."/>
      <w:lvlJc w:val="left"/>
      <w:rPr>
        <w:rFonts w:hint="default"/>
      </w:rPr>
    </w:lvl>
    <w:lvl w:ilvl="8" w:tentative="0">
      <w:start w:val="1"/>
      <w:numFmt w:val="decimal"/>
      <w:pStyle w:val="10"/>
      <w:suff w:val="space"/>
      <w:lvlText w:val="%1.%2.%3.%4.%5.%6.%7.%8.%9.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720"/>
  <w:hyphenationZone w:val="360"/>
  <w:displayHorizontalDrawingGridEvery w:val="1"/>
  <w:displayVerticalDrawingGridEvery w:val="1"/>
  <w:characterSpacingControl w:val="doNotCompress"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8321C"/>
    <w:rsid w:val="2B6832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name="header"/>
    <w:lsdException w:uiPriority="99" w:name="footer"/>
    <w:lsdException w:unhideWhenUsed="0" w:uiPriority="0" w:semiHidden="0" w:name="index heading"/>
    <w:lsdException w:qFormat="1" w:uiPriority="35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before="120" w:after="120" w:line="276" w:lineRule="auto"/>
      <w:ind w:firstLine="482"/>
      <w:jc w:val="both"/>
    </w:pPr>
    <w:rPr>
      <w:rFonts w:ascii="Times New Roman" w:hAnsi="Times New Roman"/>
      <w:sz w:val="22"/>
      <w:szCs w:val="22"/>
      <w:lang w:val="ru-RU"/>
    </w:rPr>
  </w:style>
  <w:style w:type="paragraph" w:styleId="2">
    <w:name w:val="heading 1"/>
    <w:basedOn w:val="1"/>
    <w:next w:val="1"/>
    <w:link w:val="46"/>
    <w:qFormat/>
    <w:uiPriority w:val="9"/>
    <w:pPr>
      <w:keepNext/>
      <w:keepLines/>
      <w:numPr>
        <w:ilvl w:val="0"/>
        <w:numId w:val="1"/>
      </w:numPr>
      <w:spacing w:before="240"/>
      <w:ind w:left="0" w:firstLine="0"/>
      <w:jc w:val="center"/>
      <w:outlineLvl w:val="0"/>
    </w:pPr>
    <w:rPr>
      <w:b/>
      <w:bCs/>
      <w:sz w:val="24"/>
      <w:szCs w:val="28"/>
    </w:rPr>
  </w:style>
  <w:style w:type="paragraph" w:styleId="3">
    <w:name w:val="heading 2"/>
    <w:basedOn w:val="1"/>
    <w:next w:val="1"/>
    <w:link w:val="47"/>
    <w:unhideWhenUsed/>
    <w:qFormat/>
    <w:uiPriority w:val="9"/>
    <w:pPr>
      <w:numPr>
        <w:ilvl w:val="1"/>
        <w:numId w:val="1"/>
      </w:numPr>
      <w:ind w:firstLine="482"/>
      <w:outlineLvl w:val="1"/>
    </w:pPr>
    <w:rPr>
      <w:bCs/>
      <w:szCs w:val="26"/>
    </w:rPr>
  </w:style>
  <w:style w:type="paragraph" w:styleId="4">
    <w:name w:val="heading 3"/>
    <w:basedOn w:val="1"/>
    <w:next w:val="1"/>
    <w:link w:val="48"/>
    <w:unhideWhenUsed/>
    <w:qFormat/>
    <w:uiPriority w:val="9"/>
    <w:pPr>
      <w:numPr>
        <w:ilvl w:val="2"/>
        <w:numId w:val="1"/>
      </w:numPr>
      <w:ind w:firstLine="482"/>
      <w:outlineLvl w:val="2"/>
    </w:pPr>
    <w:rPr>
      <w:bCs/>
    </w:rPr>
  </w:style>
  <w:style w:type="paragraph" w:styleId="5">
    <w:name w:val="heading 4"/>
    <w:basedOn w:val="1"/>
    <w:next w:val="1"/>
    <w:link w:val="49"/>
    <w:unhideWhenUsed/>
    <w:qFormat/>
    <w:uiPriority w:val="9"/>
    <w:pPr>
      <w:numPr>
        <w:ilvl w:val="3"/>
        <w:numId w:val="1"/>
      </w:numPr>
      <w:ind w:firstLine="482"/>
      <w:outlineLvl w:val="3"/>
    </w:pPr>
    <w:rPr>
      <w:bCs/>
      <w:iCs/>
    </w:rPr>
  </w:style>
  <w:style w:type="paragraph" w:styleId="6">
    <w:name w:val="heading 5"/>
    <w:basedOn w:val="1"/>
    <w:next w:val="1"/>
    <w:link w:val="50"/>
    <w:semiHidden/>
    <w:unhideWhenUsed/>
    <w:qFormat/>
    <w:uiPriority w:val="9"/>
    <w:pPr>
      <w:keepNext/>
      <w:keepLines/>
      <w:numPr>
        <w:ilvl w:val="4"/>
        <w:numId w:val="1"/>
      </w:numPr>
      <w:spacing w:before="200" w:after="0"/>
      <w:ind w:firstLine="482"/>
      <w:outlineLvl w:val="4"/>
    </w:pPr>
  </w:style>
  <w:style w:type="paragraph" w:styleId="7">
    <w:name w:val="heading 6"/>
    <w:basedOn w:val="1"/>
    <w:next w:val="1"/>
    <w:link w:val="51"/>
    <w:semiHidden/>
    <w:unhideWhenUsed/>
    <w:qFormat/>
    <w:uiPriority w:val="9"/>
    <w:pPr>
      <w:keepNext/>
      <w:keepLines/>
      <w:numPr>
        <w:ilvl w:val="5"/>
        <w:numId w:val="1"/>
      </w:numPr>
      <w:spacing w:before="200" w:after="0"/>
      <w:ind w:firstLine="482"/>
      <w:outlineLvl w:val="5"/>
    </w:pPr>
    <w:rPr>
      <w:i/>
      <w:iCs/>
      <w:color w:val="243F60"/>
    </w:rPr>
  </w:style>
  <w:style w:type="paragraph" w:styleId="8">
    <w:name w:val="heading 7"/>
    <w:basedOn w:val="1"/>
    <w:next w:val="1"/>
    <w:link w:val="52"/>
    <w:semiHidden/>
    <w:unhideWhenUsed/>
    <w:qFormat/>
    <w:uiPriority w:val="9"/>
    <w:pPr>
      <w:keepNext/>
      <w:keepLines/>
      <w:numPr>
        <w:ilvl w:val="6"/>
        <w:numId w:val="1"/>
      </w:numPr>
      <w:spacing w:before="200" w:after="0"/>
      <w:ind w:firstLine="482"/>
      <w:outlineLvl w:val="6"/>
    </w:pPr>
    <w:rPr>
      <w:i/>
      <w:iCs/>
      <w:color w:val="404040"/>
    </w:rPr>
  </w:style>
  <w:style w:type="paragraph" w:styleId="9">
    <w:name w:val="heading 8"/>
    <w:basedOn w:val="1"/>
    <w:next w:val="1"/>
    <w:link w:val="53"/>
    <w:semiHidden/>
    <w:unhideWhenUsed/>
    <w:qFormat/>
    <w:uiPriority w:val="9"/>
    <w:pPr>
      <w:keepNext/>
      <w:keepLines/>
      <w:numPr>
        <w:ilvl w:val="7"/>
        <w:numId w:val="1"/>
      </w:numPr>
      <w:spacing w:before="200" w:after="0"/>
      <w:ind w:firstLine="482"/>
      <w:outlineLvl w:val="7"/>
    </w:pPr>
    <w:rPr>
      <w:color w:val="4F81BD"/>
      <w:szCs w:val="20"/>
    </w:rPr>
  </w:style>
  <w:style w:type="paragraph" w:styleId="10">
    <w:name w:val="heading 9"/>
    <w:basedOn w:val="1"/>
    <w:next w:val="1"/>
    <w:link w:val="54"/>
    <w:semiHidden/>
    <w:unhideWhenUsed/>
    <w:qFormat/>
    <w:uiPriority w:val="9"/>
    <w:pPr>
      <w:keepNext/>
      <w:keepLines/>
      <w:numPr>
        <w:ilvl w:val="8"/>
        <w:numId w:val="1"/>
      </w:numPr>
      <w:spacing w:before="200" w:after="0"/>
      <w:ind w:firstLine="482"/>
      <w:outlineLvl w:val="8"/>
    </w:pPr>
    <w:rPr>
      <w:i/>
      <w:iCs/>
      <w:color w:val="404040"/>
      <w:szCs w:val="20"/>
    </w:rPr>
  </w:style>
  <w:style w:type="character" w:default="1" w:styleId="18">
    <w:name w:val="Default Paragraph Font"/>
    <w:semiHidden/>
    <w:unhideWhenUsed/>
    <w:uiPriority w:val="1"/>
  </w:style>
  <w:style w:type="table" w:default="1" w:styleId="23">
    <w:name w:val="Normal Table"/>
    <w:semiHidden/>
    <w:unhideWhenUsed/>
    <w:qFormat/>
    <w:uiPriority w:val="99"/>
    <w:tblPr>
      <w:tblStyle w:val="2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/>
      <w:sz w:val="18"/>
      <w:szCs w:val="18"/>
    </w:rPr>
  </w:style>
  <w:style w:type="paragraph" w:styleId="12">
    <w:name w:val="Document Map"/>
    <w:basedOn w:val="1"/>
    <w:link w:val="6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3">
    <w:name w:val="footnote text"/>
    <w:basedOn w:val="1"/>
    <w:uiPriority w:val="0"/>
    <w:pPr>
      <w:spacing w:line="216" w:lineRule="auto"/>
    </w:pPr>
    <w:rPr>
      <w:sz w:val="20"/>
      <w:szCs w:val="20"/>
    </w:rPr>
  </w:style>
  <w:style w:type="paragraph" w:styleId="14">
    <w:name w:val="header"/>
    <w:basedOn w:val="1"/>
    <w:link w:val="66"/>
    <w:semiHidden/>
    <w:unhideWhenUsed/>
    <w:uiPriority w:val="99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paragraph" w:styleId="15">
    <w:name w:val="Title"/>
    <w:basedOn w:val="1"/>
    <w:next w:val="1"/>
    <w:link w:val="55"/>
    <w:qFormat/>
    <w:uiPriority w:val="10"/>
    <w:pPr>
      <w:keepNext/>
      <w:keepLines/>
      <w:spacing w:after="300" w:line="240" w:lineRule="auto"/>
      <w:ind w:left="0"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paragraph" w:styleId="16">
    <w:name w:val="footer"/>
    <w:basedOn w:val="1"/>
    <w:link w:val="67"/>
    <w:semiHidden/>
    <w:unhideWhenUsed/>
    <w:uiPriority w:val="99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paragraph" w:styleId="17">
    <w:name w:val="Subtitle"/>
    <w:basedOn w:val="1"/>
    <w:next w:val="1"/>
    <w:link w:val="56"/>
    <w:qFormat/>
    <w:uiPriority w:val="11"/>
    <w:rPr>
      <w:i/>
      <w:iCs/>
      <w:color w:val="4F81BD"/>
      <w:spacing w:val="15"/>
      <w:sz w:val="24"/>
      <w:szCs w:val="24"/>
    </w:rPr>
  </w:style>
  <w:style w:type="character" w:styleId="19">
    <w:name w:val="footnote reference"/>
    <w:basedOn w:val="18"/>
    <w:uiPriority w:val="0"/>
    <w:rPr>
      <w:vertAlign w:val="superscript"/>
    </w:rPr>
  </w:style>
  <w:style w:type="character" w:styleId="20">
    <w:name w:val="Emphasis"/>
    <w:basedOn w:val="18"/>
    <w:qFormat/>
    <w:uiPriority w:val="20"/>
    <w:rPr>
      <w:i/>
      <w:iCs/>
    </w:rPr>
  </w:style>
  <w:style w:type="character" w:styleId="21">
    <w:name w:val="Hyperlink"/>
    <w:unhideWhenUsed/>
    <w:uiPriority w:val="0"/>
    <w:rPr>
      <w:color w:val="0000FF"/>
      <w:u w:val="single"/>
    </w:rPr>
  </w:style>
  <w:style w:type="character" w:styleId="22">
    <w:name w:val="Strong"/>
    <w:basedOn w:val="18"/>
    <w:qFormat/>
    <w:uiPriority w:val="22"/>
    <w:rPr>
      <w:b/>
      <w:bCs/>
    </w:rPr>
  </w:style>
  <w:style w:type="paragraph" w:customStyle="1" w:styleId="24">
    <w:name w:val="Normal unindented"/>
    <w:qFormat/>
    <w:uiPriority w:val="0"/>
    <w:pPr>
      <w:spacing w:before="120" w:after="120" w:line="276" w:lineRule="auto"/>
      <w:jc w:val="both"/>
    </w:pPr>
    <w:rPr>
      <w:rFonts w:ascii="Times New Roman" w:hAnsi="Times New Roman"/>
      <w:sz w:val="22"/>
      <w:szCs w:val="22"/>
      <w:lang w:val="ru-RU"/>
    </w:rPr>
  </w:style>
  <w:style w:type="paragraph" w:customStyle="1" w:styleId="25">
    <w:name w:val="heading 1 unnumbered"/>
    <w:basedOn w:val="1"/>
    <w:next w:val="1"/>
    <w:qFormat/>
    <w:uiPriority w:val="9"/>
    <w:pPr>
      <w:keepNext/>
      <w:keepLines/>
      <w:spacing w:before="240"/>
      <w:ind w:left="0" w:firstLine="0"/>
      <w:jc w:val="center"/>
      <w:outlineLvl w:val="0"/>
    </w:pPr>
    <w:rPr>
      <w:b/>
      <w:bCs/>
      <w:sz w:val="24"/>
      <w:szCs w:val="28"/>
    </w:rPr>
  </w:style>
  <w:style w:type="paragraph" w:customStyle="1" w:styleId="26">
    <w:name w:val="heading 1 normal"/>
    <w:basedOn w:val="1"/>
    <w:next w:val="1"/>
    <w:qFormat/>
    <w:uiPriority w:val="9"/>
    <w:pPr>
      <w:numPr>
        <w:ilvl w:val="0"/>
        <w:numId w:val="2"/>
      </w:numPr>
      <w:spacing w:before="120" w:after="120"/>
      <w:ind w:firstLine="482"/>
      <w:jc w:val="both"/>
      <w:outlineLvl w:val="0"/>
    </w:pPr>
    <w:rPr>
      <w:rFonts w:ascii="Times New Roman" w:hAnsi="Times New Roman"/>
      <w:sz w:val="22"/>
      <w:lang w:val="ru-RU"/>
    </w:rPr>
  </w:style>
  <w:style w:type="paragraph" w:customStyle="1" w:styleId="27">
    <w:name w:val="heading 1 normal unnumbered"/>
    <w:basedOn w:val="1"/>
    <w:next w:val="1"/>
    <w:qFormat/>
    <w:uiPriority w:val="9"/>
    <w:pPr>
      <w:spacing w:before="120" w:after="120"/>
      <w:ind w:firstLine="482"/>
      <w:jc w:val="both"/>
      <w:outlineLvl w:val="0"/>
    </w:pPr>
    <w:rPr>
      <w:rFonts w:ascii="Times New Roman" w:hAnsi="Times New Roman"/>
      <w:sz w:val="22"/>
      <w:lang w:val="ru-RU"/>
    </w:rPr>
  </w:style>
  <w:style w:type="paragraph" w:customStyle="1" w:styleId="28">
    <w:name w:val="heading 2 normal"/>
    <w:basedOn w:val="1"/>
    <w:next w:val="1"/>
    <w:qFormat/>
    <w:uiPriority w:val="9"/>
    <w:pPr>
      <w:numPr>
        <w:ilvl w:val="1"/>
        <w:numId w:val="2"/>
      </w:numPr>
      <w:spacing w:before="120" w:after="120"/>
      <w:ind w:firstLine="482"/>
      <w:jc w:val="both"/>
      <w:outlineLvl w:val="1"/>
    </w:pPr>
    <w:rPr>
      <w:rFonts w:ascii="Times New Roman" w:hAnsi="Times New Roman"/>
      <w:sz w:val="22"/>
      <w:lang w:val="ru-RU"/>
    </w:rPr>
  </w:style>
  <w:style w:type="paragraph" w:customStyle="1" w:styleId="29">
    <w:name w:val="heading 3 normal"/>
    <w:basedOn w:val="1"/>
    <w:next w:val="1"/>
    <w:qFormat/>
    <w:uiPriority w:val="9"/>
    <w:pPr>
      <w:numPr>
        <w:ilvl w:val="2"/>
        <w:numId w:val="2"/>
      </w:numPr>
      <w:spacing w:before="120" w:after="120"/>
      <w:ind w:firstLine="482"/>
      <w:jc w:val="both"/>
      <w:outlineLvl w:val="2"/>
    </w:pPr>
    <w:rPr>
      <w:rFonts w:ascii="Times New Roman" w:hAnsi="Times New Roman"/>
      <w:sz w:val="22"/>
      <w:lang w:val="ru-RU"/>
    </w:rPr>
  </w:style>
  <w:style w:type="paragraph" w:customStyle="1" w:styleId="30">
    <w:name w:val="heading 4 normal"/>
    <w:basedOn w:val="1"/>
    <w:next w:val="1"/>
    <w:qFormat/>
    <w:uiPriority w:val="9"/>
    <w:pPr>
      <w:numPr>
        <w:ilvl w:val="3"/>
        <w:numId w:val="2"/>
      </w:numPr>
      <w:spacing w:before="120" w:after="120"/>
      <w:ind w:firstLine="482"/>
      <w:jc w:val="both"/>
      <w:outlineLvl w:val="3"/>
    </w:pPr>
    <w:rPr>
      <w:rFonts w:ascii="Times New Roman" w:hAnsi="Times New Roman"/>
      <w:sz w:val="22"/>
      <w:lang w:val="ru-RU"/>
    </w:rPr>
  </w:style>
  <w:style w:type="paragraph" w:customStyle="1" w:styleId="31">
    <w:name w:val="heading 5 normal"/>
    <w:basedOn w:val="1"/>
    <w:next w:val="1"/>
    <w:qFormat/>
    <w:uiPriority w:val="9"/>
    <w:pPr>
      <w:numPr>
        <w:ilvl w:val="4"/>
        <w:numId w:val="2"/>
      </w:numPr>
      <w:spacing w:before="120" w:after="120"/>
      <w:ind w:firstLine="482"/>
      <w:jc w:val="both"/>
      <w:outlineLvl w:val="4"/>
    </w:pPr>
    <w:rPr>
      <w:rFonts w:ascii="Times New Roman" w:hAnsi="Times New Roman"/>
      <w:sz w:val="22"/>
      <w:lang w:val="ru-RU"/>
    </w:rPr>
  </w:style>
  <w:style w:type="paragraph" w:customStyle="1" w:styleId="32">
    <w:name w:val="heading 6 normal"/>
    <w:basedOn w:val="1"/>
    <w:next w:val="1"/>
    <w:qFormat/>
    <w:uiPriority w:val="9"/>
    <w:pPr>
      <w:numPr>
        <w:ilvl w:val="5"/>
        <w:numId w:val="2"/>
      </w:numPr>
      <w:spacing w:before="120" w:after="120"/>
      <w:ind w:firstLine="482"/>
      <w:jc w:val="both"/>
      <w:outlineLvl w:val="5"/>
    </w:pPr>
    <w:rPr>
      <w:rFonts w:ascii="Times New Roman" w:hAnsi="Times New Roman"/>
      <w:sz w:val="22"/>
      <w:lang w:val="ru-RU"/>
    </w:rPr>
  </w:style>
  <w:style w:type="paragraph" w:customStyle="1" w:styleId="33">
    <w:name w:val="heading 7 normal"/>
    <w:basedOn w:val="1"/>
    <w:next w:val="1"/>
    <w:qFormat/>
    <w:uiPriority w:val="9"/>
    <w:pPr>
      <w:numPr>
        <w:ilvl w:val="6"/>
        <w:numId w:val="2"/>
      </w:numPr>
      <w:spacing w:before="120" w:after="120"/>
      <w:ind w:firstLine="482"/>
      <w:jc w:val="both"/>
      <w:outlineLvl w:val="6"/>
    </w:pPr>
    <w:rPr>
      <w:rFonts w:ascii="Times New Roman" w:hAnsi="Times New Roman"/>
      <w:sz w:val="22"/>
      <w:lang w:val="ru-RU"/>
    </w:rPr>
  </w:style>
  <w:style w:type="paragraph" w:customStyle="1" w:styleId="34">
    <w:name w:val="heading 8 normal"/>
    <w:basedOn w:val="1"/>
    <w:next w:val="1"/>
    <w:qFormat/>
    <w:uiPriority w:val="9"/>
    <w:pPr>
      <w:numPr>
        <w:ilvl w:val="7"/>
        <w:numId w:val="2"/>
      </w:numPr>
      <w:spacing w:before="120" w:after="120"/>
      <w:ind w:firstLine="482"/>
      <w:jc w:val="both"/>
      <w:outlineLvl w:val="7"/>
    </w:pPr>
    <w:rPr>
      <w:rFonts w:ascii="Times New Roman" w:hAnsi="Times New Roman"/>
      <w:sz w:val="22"/>
      <w:lang w:val="ru-RU"/>
    </w:rPr>
  </w:style>
  <w:style w:type="paragraph" w:customStyle="1" w:styleId="35">
    <w:name w:val="heading 9 normal"/>
    <w:basedOn w:val="1"/>
    <w:next w:val="1"/>
    <w:qFormat/>
    <w:uiPriority w:val="9"/>
    <w:pPr>
      <w:numPr>
        <w:ilvl w:val="8"/>
        <w:numId w:val="2"/>
      </w:numPr>
      <w:spacing w:before="120" w:after="120"/>
      <w:ind w:firstLine="482"/>
      <w:jc w:val="both"/>
      <w:outlineLvl w:val="8"/>
    </w:pPr>
    <w:rPr>
      <w:rFonts w:ascii="Times New Roman" w:hAnsi="Times New Roman"/>
      <w:sz w:val="22"/>
      <w:lang w:val="ru-RU"/>
    </w:rPr>
  </w:style>
  <w:style w:type="paragraph" w:styleId="36">
    <w:name w:val="No Spacing"/>
    <w:qFormat/>
    <w:uiPriority w:val="1"/>
    <w:pPr>
      <w:spacing w:after="0" w:line="240" w:lineRule="auto"/>
    </w:pPr>
    <w:rPr>
      <w:sz w:val="22"/>
      <w:szCs w:val="22"/>
    </w:rPr>
  </w:style>
  <w:style w:type="paragraph" w:styleId="37">
    <w:name w:val="List Paragraph"/>
    <w:basedOn w:val="1"/>
    <w:qFormat/>
    <w:uiPriority w:val="34"/>
    <w:pPr>
      <w:contextualSpacing/>
      <w:jc w:val="left"/>
    </w:pPr>
  </w:style>
  <w:style w:type="paragraph" w:styleId="38">
    <w:name w:val="Quote"/>
    <w:basedOn w:val="1"/>
    <w:next w:val="1"/>
    <w:link w:val="58"/>
    <w:qFormat/>
    <w:uiPriority w:val="29"/>
    <w:pPr>
      <w:pBdr>
        <w:left w:val="single" w:color="999999" w:sz="24" w:space="10"/>
      </w:pBdr>
      <w:spacing w:before="120" w:after="0"/>
      <w:ind w:left="964" w:firstLine="0"/>
    </w:pPr>
    <w:rPr>
      <w:i/>
      <w:iCs/>
      <w:color w:val="8064A2"/>
    </w:rPr>
  </w:style>
  <w:style w:type="paragraph" w:customStyle="1" w:styleId="39">
    <w:name w:val="DeletedPlaceholder"/>
    <w:basedOn w:val="1"/>
    <w:next w:val="1"/>
    <w:link w:val="57"/>
    <w:qFormat/>
    <w:uiPriority w:val="29"/>
    <w:pPr>
      <w:pBdr>
        <w:left w:val="single" w:color="999999" w:sz="24" w:space="10"/>
      </w:pBdr>
      <w:spacing w:before="120" w:after="0"/>
      <w:ind w:left="964" w:firstLine="0"/>
    </w:pPr>
    <w:rPr>
      <w:i/>
      <w:iCs/>
      <w:color w:val="FF3F1F"/>
    </w:rPr>
  </w:style>
  <w:style w:type="paragraph" w:customStyle="1" w:styleId="40">
    <w:name w:val="Warning"/>
    <w:basedOn w:val="1"/>
    <w:next w:val="1"/>
    <w:qFormat/>
    <w:uiPriority w:val="29"/>
    <w:pPr>
      <w:pBdr>
        <w:left w:val="single" w:color="999999" w:sz="24" w:space="10"/>
      </w:pBdr>
      <w:spacing w:before="120" w:after="0"/>
      <w:ind w:left="964" w:firstLine="0"/>
    </w:pPr>
    <w:rPr>
      <w:i/>
      <w:iCs/>
      <w:color w:val="E36C0A"/>
    </w:rPr>
  </w:style>
  <w:style w:type="paragraph" w:customStyle="1" w:styleId="41">
    <w:name w:val="QuoteMargin"/>
    <w:qFormat/>
    <w:uiPriority w:val="0"/>
    <w:pPr>
      <w:spacing w:before="120" w:after="0" w:line="276" w:lineRule="auto"/>
      <w:ind w:firstLine="482"/>
      <w:jc w:val="both"/>
    </w:pPr>
    <w:rPr>
      <w:rFonts w:ascii="Times New Roman" w:hAnsi="Times New Roman"/>
      <w:sz w:val="22"/>
      <w:szCs w:val="22"/>
      <w:lang w:val="ru-RU"/>
    </w:rPr>
  </w:style>
  <w:style w:type="paragraph" w:styleId="42">
    <w:name w:val="Intense Quote"/>
    <w:basedOn w:val="1"/>
    <w:next w:val="1"/>
    <w:link w:val="59"/>
    <w:qFormat/>
    <w:uiPriority w:val="30"/>
    <w:pPr>
      <w:pBdr>
        <w:bottom w:val="single" w:color="4F81BD" w:sz="4" w:space="4"/>
      </w:pBdr>
      <w:spacing w:before="200" w:after="0"/>
      <w:ind w:left="936" w:right="936"/>
    </w:pPr>
    <w:rPr>
      <w:b/>
      <w:bCs/>
      <w:i/>
      <w:iCs/>
      <w:color w:val="4F81BD"/>
    </w:rPr>
  </w:style>
  <w:style w:type="paragraph" w:styleId="43">
    <w:name w:val=""/>
    <w:basedOn w:val="2"/>
    <w:next w:val="1"/>
    <w:semiHidden/>
    <w:unhideWhenUsed/>
    <w:qFormat/>
    <w:uiPriority w:val="39"/>
    <w:pPr>
      <w:outlineLvl w:val="9"/>
    </w:pPr>
  </w:style>
  <w:style w:type="paragraph" w:customStyle="1" w:styleId="44">
    <w:name w:val="footnote text unindented"/>
    <w:basedOn w:val="24"/>
    <w:uiPriority w:val="0"/>
    <w:pPr>
      <w:spacing w:line="216" w:lineRule="auto"/>
    </w:pPr>
    <w:rPr>
      <w:sz w:val="20"/>
      <w:szCs w:val="20"/>
    </w:rPr>
  </w:style>
  <w:style w:type="paragraph" w:customStyle="1" w:styleId="45">
    <w:name w:val="list footnote text"/>
    <w:basedOn w:val="37"/>
    <w:uiPriority w:val="0"/>
    <w:pPr>
      <w:spacing w:line="216" w:lineRule="auto"/>
    </w:pPr>
    <w:rPr>
      <w:sz w:val="20"/>
      <w:szCs w:val="20"/>
    </w:rPr>
  </w:style>
  <w:style w:type="character" w:customStyle="1" w:styleId="46">
    <w:name w:val="Заголовок 1 Знак"/>
    <w:basedOn w:val="18"/>
    <w:link w:val="2"/>
    <w:uiPriority w:val="9"/>
    <w:rPr>
      <w:rFonts w:ascii="Times New Roman" w:hAnsi="Times New Roman"/>
      <w:b/>
      <w:bCs/>
      <w:sz w:val="24"/>
      <w:szCs w:val="28"/>
      <w:lang w:val="ru-RU"/>
    </w:rPr>
  </w:style>
  <w:style w:type="character" w:customStyle="1" w:styleId="47">
    <w:name w:val="Заголовок 2 Знак"/>
    <w:basedOn w:val="18"/>
    <w:link w:val="3"/>
    <w:uiPriority w:val="9"/>
    <w:rPr>
      <w:rFonts w:ascii="Times New Roman" w:hAnsi="Times New Roman"/>
      <w:bCs/>
      <w:sz w:val="20"/>
      <w:szCs w:val="26"/>
      <w:lang w:val="ru-RU"/>
    </w:rPr>
  </w:style>
  <w:style w:type="character" w:customStyle="1" w:styleId="48">
    <w:name w:val="Заголовок 3 Знак"/>
    <w:basedOn w:val="18"/>
    <w:link w:val="4"/>
    <w:uiPriority w:val="9"/>
    <w:rPr>
      <w:rFonts w:ascii="Times New Roman" w:hAnsi="Times New Roman"/>
      <w:bCs/>
      <w:sz w:val="20"/>
      <w:lang w:val="ru-RU"/>
    </w:rPr>
  </w:style>
  <w:style w:type="character" w:customStyle="1" w:styleId="49">
    <w:name w:val="Заголовок 4 Знак"/>
    <w:basedOn w:val="18"/>
    <w:link w:val="5"/>
    <w:uiPriority w:val="9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basedOn w:val="18"/>
    <w:link w:val="6"/>
    <w:semiHidden/>
    <w:uiPriority w:val="9"/>
    <w:rPr>
      <w:sz w:val="20"/>
      <w:lang w:val="ru-RU"/>
    </w:rPr>
  </w:style>
  <w:style w:type="character" w:customStyle="1" w:styleId="51">
    <w:name w:val="Заголовок 6 Знак"/>
    <w:basedOn w:val="18"/>
    <w:link w:val="7"/>
    <w:semiHidden/>
    <w:uiPriority w:val="9"/>
    <w:rPr>
      <w:i/>
      <w:iCs/>
      <w:color w:val="243F60"/>
      <w:sz w:val="20"/>
      <w:lang w:val="ru-RU"/>
    </w:rPr>
  </w:style>
  <w:style w:type="character" w:customStyle="1" w:styleId="52">
    <w:name w:val="Заголовок 7 Знак"/>
    <w:basedOn w:val="18"/>
    <w:link w:val="8"/>
    <w:semiHidden/>
    <w:uiPriority w:val="9"/>
    <w:rPr>
      <w:i/>
      <w:iCs/>
      <w:color w:val="404040"/>
      <w:sz w:val="20"/>
      <w:lang w:val="ru-RU"/>
    </w:rPr>
  </w:style>
  <w:style w:type="character" w:customStyle="1" w:styleId="53">
    <w:name w:val="Заголовок 8 Знак"/>
    <w:basedOn w:val="18"/>
    <w:link w:val="9"/>
    <w:semiHidden/>
    <w:uiPriority w:val="9"/>
    <w:rPr>
      <w:color w:val="4F81BD"/>
      <w:sz w:val="20"/>
      <w:szCs w:val="20"/>
      <w:lang w:val="ru-RU"/>
    </w:rPr>
  </w:style>
  <w:style w:type="character" w:customStyle="1" w:styleId="54">
    <w:name w:val="Заголовок 9 Знак"/>
    <w:basedOn w:val="18"/>
    <w:link w:val="10"/>
    <w:semiHidden/>
    <w:uiPriority w:val="9"/>
    <w:rPr>
      <w:i/>
      <w:iCs/>
      <w:color w:val="404040"/>
      <w:sz w:val="20"/>
      <w:szCs w:val="20"/>
      <w:lang w:val="ru-RU"/>
    </w:rPr>
  </w:style>
  <w:style w:type="character" w:customStyle="1" w:styleId="55">
    <w:name w:val="Название Знак"/>
    <w:basedOn w:val="18"/>
    <w:link w:val="15"/>
    <w:uiPriority w:val="10"/>
    <w:rPr>
      <w:rFonts w:ascii="Times New Roman" w:hAnsi="Times New Roman"/>
      <w:b/>
      <w:spacing w:val="5"/>
      <w:kern w:val="28"/>
      <w:sz w:val="28"/>
      <w:szCs w:val="52"/>
    </w:rPr>
  </w:style>
  <w:style w:type="character" w:customStyle="1" w:styleId="56">
    <w:name w:val="Подзаголовок Знак"/>
    <w:basedOn w:val="18"/>
    <w:link w:val="17"/>
    <w:uiPriority w:val="11"/>
    <w:rPr>
      <w:i/>
      <w:iCs/>
      <w:color w:val="4F81BD"/>
      <w:spacing w:val="15"/>
      <w:sz w:val="24"/>
      <w:szCs w:val="24"/>
    </w:rPr>
  </w:style>
  <w:style w:type="character" w:customStyle="1" w:styleId="57">
    <w:name w:val="DeletedPlaceholder Знак"/>
    <w:basedOn w:val="18"/>
    <w:link w:val="39"/>
    <w:uiPriority w:val="29"/>
    <w:rPr>
      <w:rFonts w:ascii="Times New Roman" w:hAnsi="Times New Roman"/>
      <w:i/>
      <w:iCs/>
      <w:color w:val="FF3F1F"/>
    </w:rPr>
  </w:style>
  <w:style w:type="character" w:customStyle="1" w:styleId="58">
    <w:name w:val="Цитата 2 Знак"/>
    <w:basedOn w:val="18"/>
    <w:link w:val="38"/>
    <w:uiPriority w:val="29"/>
    <w:rPr>
      <w:i/>
      <w:iCs/>
      <w:color w:val="000000"/>
    </w:rPr>
  </w:style>
  <w:style w:type="character" w:customStyle="1" w:styleId="59">
    <w:name w:val="Выделенная цитата Знак"/>
    <w:basedOn w:val="18"/>
    <w:link w:val="42"/>
    <w:uiPriority w:val="30"/>
    <w:rPr>
      <w:b/>
      <w:bCs/>
      <w:i/>
      <w:iCs/>
      <w:color w:val="4F81BD"/>
    </w:rPr>
  </w:style>
  <w:style w:type="character" w:styleId="60">
    <w:name w:val=""/>
    <w:basedOn w:val="18"/>
    <w:qFormat/>
    <w:uiPriority w:val="19"/>
    <w:rPr>
      <w:i/>
      <w:iCs/>
      <w:color w:val="808080"/>
    </w:rPr>
  </w:style>
  <w:style w:type="character" w:styleId="61">
    <w:name w:val=""/>
    <w:basedOn w:val="18"/>
    <w:qFormat/>
    <w:uiPriority w:val="21"/>
    <w:rPr>
      <w:b/>
      <w:bCs/>
      <w:i/>
      <w:iCs/>
      <w:color w:val="4F81BD"/>
    </w:rPr>
  </w:style>
  <w:style w:type="character" w:styleId="62">
    <w:name w:val=""/>
    <w:basedOn w:val="18"/>
    <w:qFormat/>
    <w:uiPriority w:val="31"/>
    <w:rPr>
      <w:smallCaps/>
      <w:color w:val="C0504D"/>
      <w:u w:val="single"/>
    </w:rPr>
  </w:style>
  <w:style w:type="character" w:styleId="63">
    <w:name w:val=""/>
    <w:basedOn w:val="18"/>
    <w:qFormat/>
    <w:uiPriority w:val="32"/>
    <w:rPr>
      <w:b/>
      <w:bCs/>
      <w:smallCaps/>
      <w:color w:val="C0504D"/>
      <w:spacing w:val="5"/>
      <w:u w:val="single"/>
    </w:rPr>
  </w:style>
  <w:style w:type="character" w:styleId="64">
    <w:name w:val=""/>
    <w:basedOn w:val="18"/>
    <w:qFormat/>
    <w:uiPriority w:val="33"/>
    <w:rPr>
      <w:b/>
      <w:bCs/>
      <w:smallCaps/>
      <w:spacing w:val="5"/>
    </w:rPr>
  </w:style>
  <w:style w:type="character" w:customStyle="1" w:styleId="65">
    <w:name w:val="Схема документа Знак"/>
    <w:basedOn w:val="18"/>
    <w:link w:val="12"/>
    <w:semiHidden/>
    <w:uiPriority w:val="99"/>
    <w:rPr>
      <w:rFonts w:ascii="Tahoma" w:hAnsi="Tahoma" w:cs="Tahoma"/>
      <w:sz w:val="16"/>
      <w:szCs w:val="16"/>
    </w:rPr>
  </w:style>
  <w:style w:type="character" w:customStyle="1" w:styleId="66">
    <w:name w:val="Верхний колонтитул Знак"/>
    <w:basedOn w:val="18"/>
    <w:link w:val="14"/>
    <w:semiHidden/>
    <w:uiPriority w:val="99"/>
    <w:rPr>
      <w:rFonts w:ascii="Times New Roman" w:hAnsi="Times New Roman"/>
      <w:sz w:val="16"/>
      <w:lang w:val="ru-RU"/>
    </w:rPr>
  </w:style>
  <w:style w:type="character" w:customStyle="1" w:styleId="67">
    <w:name w:val="Нижний колонтитул Знак"/>
    <w:basedOn w:val="18"/>
    <w:link w:val="16"/>
    <w:semiHidden/>
    <w:uiPriority w:val="99"/>
    <w:rPr>
      <w:rFonts w:ascii="Times New Roman" w:hAnsi="Times New Roman"/>
      <w:sz w:val="16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6;&#1077;&#1076;&#1072;&#1082;&#1090;&#1086;&#1088;\AppData\Local\Temp\KDTMP\~kd_cef_download__9d784a0579874f41851cf788db87b3710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~kd_cef_download__9d784a0579874f41851cf788db87b3710.dot</Template>
  <Pages>5</Pages>
  <Words>1214</Words>
  <Characters>7954</Characters>
  <Paragraphs>0</Paragraphs>
  <TotalTime>2</TotalTime>
  <ScaleCrop>false</ScaleCrop>
  <LinksUpToDate>false</LinksUpToDate>
  <CharactersWithSpaces>9266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2019-11-15T12:50:00Z</dcterms:created>
  <dc:creator>Редактор</dc:creator>
  <dc:description>Консультант Плюс - Конструктор Договоров</dc:description>
  <cp:lastModifiedBy>Редактор</cp:lastModifiedBy>
  <dcterms:modified xsi:type="dcterms:W3CDTF">2019-11-15T12:52:41Z</dcterms:modified>
  <dc:title>ПРИКАЗ №____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