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Карта оценки корпоративных рисков ООО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"Ppt.ru"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040"/>
        <w:gridCol w:w="1845"/>
        <w:gridCol w:w="1710"/>
        <w:gridCol w:w="2325"/>
        <w:tblGridChange w:id="0">
          <w:tblGrid>
            <w:gridCol w:w="2400"/>
            <w:gridCol w:w="2040"/>
            <w:gridCol w:w="1845"/>
            <w:gridCol w:w="1710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риска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Риск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Вероятность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Воздействие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Меры управления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Операционный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Сбои в цепочке поставок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Средняя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Умеренное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Диверсификация поставщиков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Финансовый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Увеличение стоимости сырья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Высокая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Критическое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Заключение долгосрочных контрактов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Технологический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Устаревание технологий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Высокая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Умеренное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Инвестиции в НИОКР и модернизацию оборудования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9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Стратегический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Неправильный выбор рыночной стратегии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Критическое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Регулярный анализ рынка и корректировка стратегии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52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Репутационный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52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Негативные отзывы в интернете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52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Высокая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52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Умеренное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4252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242525"/>
                <w:sz w:val="24"/>
                <w:szCs w:val="24"/>
                <w:shd w:fill="fbfbfb" w:val="clear"/>
                <w:rtl w:val="0"/>
              </w:rPr>
              <w:t xml:space="preserve">Активная работа с клиентами и PR-кампании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