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74" w:rsidRPr="006C7074" w:rsidRDefault="006C7074" w:rsidP="006C7074">
      <w:pPr>
        <w:pStyle w:val="ConsNormal"/>
        <w:jc w:val="center"/>
        <w:rPr>
          <w:rFonts w:ascii="Times New Roman" w:hAnsi="Times New Roman" w:cs="Times New Roman"/>
          <w:b/>
          <w:sz w:val="28"/>
          <w:szCs w:val="28"/>
        </w:rPr>
      </w:pPr>
      <w:r w:rsidRPr="006C7074">
        <w:rPr>
          <w:rFonts w:ascii="Times New Roman" w:hAnsi="Times New Roman" w:cs="Times New Roman"/>
          <w:b/>
          <w:sz w:val="28"/>
          <w:szCs w:val="28"/>
        </w:rPr>
        <w:t>Общество с ограниченной ответственностью "</w:t>
      </w:r>
      <w:proofErr w:type="spellStart"/>
      <w:r w:rsidRPr="006C7074">
        <w:rPr>
          <w:rFonts w:ascii="Times New Roman" w:hAnsi="Times New Roman" w:cs="Times New Roman"/>
          <w:b/>
          <w:sz w:val="28"/>
          <w:szCs w:val="28"/>
          <w:lang w:val="en-US"/>
        </w:rPr>
        <w:t>Ppt</w:t>
      </w:r>
      <w:proofErr w:type="spellEnd"/>
      <w:r w:rsidRPr="006C7074">
        <w:rPr>
          <w:rFonts w:ascii="Times New Roman" w:hAnsi="Times New Roman" w:cs="Times New Roman"/>
          <w:b/>
          <w:sz w:val="28"/>
          <w:szCs w:val="28"/>
        </w:rPr>
        <w:t>.</w:t>
      </w:r>
      <w:proofErr w:type="spellStart"/>
      <w:r w:rsidRPr="006C7074">
        <w:rPr>
          <w:rFonts w:ascii="Times New Roman" w:hAnsi="Times New Roman" w:cs="Times New Roman"/>
          <w:b/>
          <w:sz w:val="28"/>
          <w:szCs w:val="28"/>
          <w:lang w:val="en-US"/>
        </w:rPr>
        <w:t>ru</w:t>
      </w:r>
      <w:proofErr w:type="spellEnd"/>
      <w:r w:rsidRPr="006C7074">
        <w:rPr>
          <w:rFonts w:ascii="Times New Roman" w:hAnsi="Times New Roman" w:cs="Times New Roman"/>
          <w:b/>
          <w:sz w:val="28"/>
          <w:szCs w:val="28"/>
        </w:rPr>
        <w:t>"</w:t>
      </w:r>
    </w:p>
    <w:p w:rsidR="006C7074" w:rsidRPr="006C7074" w:rsidRDefault="006C7074" w:rsidP="006C7074">
      <w:pPr>
        <w:pStyle w:val="ConsNormal"/>
        <w:jc w:val="center"/>
        <w:rPr>
          <w:rFonts w:ascii="Times New Roman" w:hAnsi="Times New Roman" w:cs="Times New Roman"/>
          <w:b/>
          <w:sz w:val="28"/>
          <w:szCs w:val="28"/>
        </w:rPr>
      </w:pPr>
      <w:r w:rsidRPr="006C7074">
        <w:rPr>
          <w:rFonts w:ascii="Times New Roman" w:hAnsi="Times New Roman" w:cs="Times New Roman"/>
          <w:b/>
          <w:sz w:val="28"/>
          <w:szCs w:val="28"/>
        </w:rPr>
        <w:t>(ООО "</w:t>
      </w:r>
      <w:r w:rsidRPr="006C7074">
        <w:rPr>
          <w:rFonts w:ascii="Times New Roman" w:hAnsi="Times New Roman" w:cs="Times New Roman"/>
          <w:b/>
          <w:sz w:val="28"/>
          <w:szCs w:val="28"/>
        </w:rPr>
        <w:t xml:space="preserve"> </w:t>
      </w:r>
      <w:proofErr w:type="spellStart"/>
      <w:r w:rsidRPr="006C7074">
        <w:rPr>
          <w:rFonts w:ascii="Times New Roman" w:hAnsi="Times New Roman" w:cs="Times New Roman"/>
          <w:b/>
          <w:sz w:val="28"/>
          <w:szCs w:val="28"/>
          <w:lang w:val="en-US"/>
        </w:rPr>
        <w:t>Ppt</w:t>
      </w:r>
      <w:proofErr w:type="spellEnd"/>
      <w:r w:rsidRPr="006C7074">
        <w:rPr>
          <w:rFonts w:ascii="Times New Roman" w:hAnsi="Times New Roman" w:cs="Times New Roman"/>
          <w:b/>
          <w:sz w:val="28"/>
          <w:szCs w:val="28"/>
        </w:rPr>
        <w:t>.</w:t>
      </w:r>
      <w:proofErr w:type="spellStart"/>
      <w:r w:rsidRPr="006C7074">
        <w:rPr>
          <w:rFonts w:ascii="Times New Roman" w:hAnsi="Times New Roman" w:cs="Times New Roman"/>
          <w:b/>
          <w:sz w:val="28"/>
          <w:szCs w:val="28"/>
          <w:lang w:val="en-US"/>
        </w:rPr>
        <w:t>ru</w:t>
      </w:r>
      <w:proofErr w:type="spellEnd"/>
      <w:r w:rsidRPr="006C7074">
        <w:rPr>
          <w:rFonts w:ascii="Times New Roman" w:hAnsi="Times New Roman" w:cs="Times New Roman"/>
          <w:b/>
          <w:sz w:val="28"/>
          <w:szCs w:val="28"/>
        </w:rPr>
        <w:t xml:space="preserve"> </w:t>
      </w:r>
      <w:r w:rsidRPr="006C7074">
        <w:rPr>
          <w:rFonts w:ascii="Times New Roman" w:hAnsi="Times New Roman" w:cs="Times New Roman"/>
          <w:b/>
          <w:sz w:val="28"/>
          <w:szCs w:val="28"/>
        </w:rPr>
        <w:t>")</w:t>
      </w:r>
    </w:p>
    <w:p w:rsidR="006C7074" w:rsidRPr="006C7074" w:rsidRDefault="006C7074" w:rsidP="006C7074">
      <w:pPr>
        <w:pStyle w:val="ConsNormal"/>
        <w:rPr>
          <w:rFonts w:ascii="Times New Roman" w:hAnsi="Times New Roman" w:cs="Times New Roman"/>
          <w:sz w:val="22"/>
          <w:szCs w:val="22"/>
        </w:rPr>
      </w:pPr>
    </w:p>
    <w:p w:rsidR="006C7074" w:rsidRPr="006C7074" w:rsidRDefault="006C7074" w:rsidP="006C7074">
      <w:pPr>
        <w:autoSpaceDE w:val="0"/>
        <w:autoSpaceDN w:val="0"/>
        <w:adjustRightInd w:val="0"/>
        <w:spacing w:after="0" w:line="240" w:lineRule="auto"/>
        <w:jc w:val="both"/>
        <w:rPr>
          <w:rFonts w:ascii="Times New Roman" w:hAnsi="Times New Roman"/>
        </w:rPr>
      </w:pPr>
      <w:r w:rsidRPr="006C7074">
        <w:rPr>
          <w:rFonts w:ascii="Times New Roman" w:hAnsi="Times New Roman"/>
        </w:rPr>
        <w:t>СОГЛАСОВАНО УТВЕРЖДЕНО</w:t>
      </w:r>
      <w:r w:rsidRPr="006C7074">
        <w:rPr>
          <w:rFonts w:ascii="Times New Roman" w:hAnsi="Times New Roman"/>
        </w:rPr>
        <w:br/>
        <w:t xml:space="preserve">Протокол заседания профсоюзного </w:t>
      </w:r>
      <w:r w:rsidRPr="006C7074">
        <w:rPr>
          <w:rFonts w:ascii="Times New Roman" w:hAnsi="Times New Roman"/>
        </w:rPr>
        <w:t xml:space="preserve">                                                              </w:t>
      </w:r>
      <w:r w:rsidRPr="006C7074">
        <w:rPr>
          <w:rFonts w:ascii="Times New Roman" w:hAnsi="Times New Roman"/>
        </w:rPr>
        <w:t>Приказом ООО "</w:t>
      </w:r>
      <w:proofErr w:type="spellStart"/>
      <w:r w:rsidRPr="006C7074">
        <w:rPr>
          <w:rFonts w:ascii="Times New Roman" w:hAnsi="Times New Roman"/>
          <w:lang w:val="en-US"/>
        </w:rPr>
        <w:t>Ppt</w:t>
      </w:r>
      <w:proofErr w:type="spellEnd"/>
      <w:r w:rsidRPr="006C7074">
        <w:rPr>
          <w:rFonts w:ascii="Times New Roman" w:hAnsi="Times New Roman"/>
        </w:rPr>
        <w:t>.</w:t>
      </w:r>
      <w:proofErr w:type="spellStart"/>
      <w:r w:rsidRPr="006C7074">
        <w:rPr>
          <w:rFonts w:ascii="Times New Roman" w:hAnsi="Times New Roman"/>
          <w:lang w:val="en-US"/>
        </w:rPr>
        <w:t>ru</w:t>
      </w:r>
      <w:proofErr w:type="spellEnd"/>
      <w:r w:rsidRPr="006C7074">
        <w:rPr>
          <w:rFonts w:ascii="Times New Roman" w:hAnsi="Times New Roman"/>
        </w:rPr>
        <w:t>"</w:t>
      </w:r>
      <w:r w:rsidRPr="006C7074">
        <w:rPr>
          <w:rFonts w:ascii="Times New Roman" w:hAnsi="Times New Roman"/>
        </w:rPr>
        <w:br/>
        <w:t>комитета ООО "</w:t>
      </w:r>
      <w:proofErr w:type="spellStart"/>
      <w:r w:rsidRPr="006C7074">
        <w:rPr>
          <w:rFonts w:ascii="Times New Roman" w:hAnsi="Times New Roman"/>
          <w:lang w:val="en-US"/>
        </w:rPr>
        <w:t>Ppt</w:t>
      </w:r>
      <w:proofErr w:type="spellEnd"/>
      <w:r w:rsidRPr="006C7074">
        <w:rPr>
          <w:rFonts w:ascii="Times New Roman" w:hAnsi="Times New Roman"/>
        </w:rPr>
        <w:t>.</w:t>
      </w:r>
      <w:proofErr w:type="spellStart"/>
      <w:r w:rsidRPr="006C7074">
        <w:rPr>
          <w:rFonts w:ascii="Times New Roman" w:hAnsi="Times New Roman"/>
          <w:lang w:val="en-US"/>
        </w:rPr>
        <w:t>ru</w:t>
      </w:r>
      <w:proofErr w:type="spellEnd"/>
      <w:r w:rsidRPr="006C7074">
        <w:rPr>
          <w:rFonts w:ascii="Times New Roman" w:hAnsi="Times New Roman"/>
        </w:rPr>
        <w:t>" от 11.03.2024 N 16</w:t>
      </w:r>
      <w:r w:rsidRPr="006C7074">
        <w:rPr>
          <w:rFonts w:ascii="Times New Roman" w:hAnsi="Times New Roman"/>
        </w:rPr>
        <w:br/>
        <w:t>от 04.03.2024 N 5</w:t>
      </w:r>
      <w:r w:rsidRPr="006C7074">
        <w:rPr>
          <w:rFonts w:ascii="Times New Roman" w:hAnsi="Times New Roman"/>
        </w:rPr>
        <w:br/>
      </w:r>
    </w:p>
    <w:p w:rsidR="006C7074" w:rsidRPr="006C7074" w:rsidRDefault="006C7074" w:rsidP="006C7074">
      <w:pPr>
        <w:pStyle w:val="ConsNormal"/>
        <w:jc w:val="center"/>
        <w:rPr>
          <w:rFonts w:ascii="Times New Roman" w:hAnsi="Times New Roman" w:cs="Times New Roman"/>
          <w:sz w:val="24"/>
          <w:szCs w:val="24"/>
        </w:rPr>
      </w:pPr>
      <w:bookmarkStart w:id="0" w:name="_GoBack"/>
      <w:r w:rsidRPr="006C7074">
        <w:rPr>
          <w:rFonts w:ascii="Times New Roman" w:hAnsi="Times New Roman" w:cs="Times New Roman"/>
          <w:b/>
          <w:bCs/>
          <w:sz w:val="24"/>
          <w:szCs w:val="24"/>
        </w:rPr>
        <w:t>ПОЛОЖЕНИЕ</w:t>
      </w:r>
    </w:p>
    <w:p w:rsidR="006C7074" w:rsidRPr="006C7074" w:rsidRDefault="006C7074" w:rsidP="006C7074">
      <w:pPr>
        <w:pStyle w:val="ConsNormal"/>
        <w:jc w:val="center"/>
        <w:rPr>
          <w:rFonts w:ascii="Times New Roman" w:hAnsi="Times New Roman" w:cs="Times New Roman"/>
          <w:sz w:val="24"/>
          <w:szCs w:val="24"/>
        </w:rPr>
      </w:pPr>
      <w:r w:rsidRPr="006C7074">
        <w:rPr>
          <w:rFonts w:ascii="Times New Roman" w:hAnsi="Times New Roman" w:cs="Times New Roman"/>
          <w:b/>
          <w:bCs/>
          <w:sz w:val="24"/>
          <w:szCs w:val="24"/>
        </w:rPr>
        <w:t>о разъездном характере работы</w:t>
      </w:r>
    </w:p>
    <w:bookmarkEnd w:id="0"/>
    <w:p w:rsidR="006C7074" w:rsidRPr="006C7074" w:rsidRDefault="006C7074" w:rsidP="006C7074">
      <w:pPr>
        <w:pStyle w:val="ConsNormal"/>
        <w:rPr>
          <w:rFonts w:ascii="Times New Roman" w:hAnsi="Times New Roman" w:cs="Times New Roman"/>
          <w:sz w:val="22"/>
          <w:szCs w:val="22"/>
        </w:rPr>
      </w:pP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1. ОБЩИЕ ПОЛОЖЕНИЯ</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1.1. Положение о разъездном характере работы (далее - Положение) является локальным нормативным актом общества с ограниченной ответственностью "</w:t>
      </w:r>
      <w:r w:rsidRPr="006C7074">
        <w:rPr>
          <w:rFonts w:ascii="Times New Roman" w:hAnsi="Times New Roman" w:cs="Times New Roman"/>
          <w:sz w:val="22"/>
          <w:szCs w:val="22"/>
        </w:rPr>
        <w:t xml:space="preserve"> </w:t>
      </w:r>
      <w:proofErr w:type="spellStart"/>
      <w:r w:rsidRPr="006C7074">
        <w:rPr>
          <w:rFonts w:ascii="Times New Roman" w:hAnsi="Times New Roman" w:cs="Times New Roman"/>
          <w:sz w:val="22"/>
          <w:szCs w:val="22"/>
          <w:lang w:val="en-US"/>
        </w:rPr>
        <w:t>Ppt</w:t>
      </w:r>
      <w:proofErr w:type="spellEnd"/>
      <w:r w:rsidRPr="006C7074">
        <w:rPr>
          <w:rFonts w:ascii="Times New Roman" w:hAnsi="Times New Roman" w:cs="Times New Roman"/>
          <w:sz w:val="22"/>
          <w:szCs w:val="22"/>
        </w:rPr>
        <w:t>.</w:t>
      </w:r>
      <w:proofErr w:type="spellStart"/>
      <w:r w:rsidRPr="006C7074">
        <w:rPr>
          <w:rFonts w:ascii="Times New Roman" w:hAnsi="Times New Roman" w:cs="Times New Roman"/>
          <w:sz w:val="22"/>
          <w:szCs w:val="22"/>
          <w:lang w:val="en-US"/>
        </w:rPr>
        <w:t>ru</w:t>
      </w:r>
      <w:proofErr w:type="spellEnd"/>
      <w:r w:rsidRPr="006C7074">
        <w:rPr>
          <w:rFonts w:ascii="Times New Roman" w:hAnsi="Times New Roman" w:cs="Times New Roman"/>
          <w:sz w:val="22"/>
          <w:szCs w:val="22"/>
        </w:rPr>
        <w:t xml:space="preserve"> </w:t>
      </w:r>
      <w:r w:rsidRPr="006C7074">
        <w:rPr>
          <w:rFonts w:ascii="Times New Roman" w:hAnsi="Times New Roman" w:cs="Times New Roman"/>
          <w:sz w:val="22"/>
          <w:szCs w:val="22"/>
        </w:rPr>
        <w:t>" (далее - Общество или Работодатель), разработанным и принятым в соответствии с действующим трудовым законодательством (ст. 8, ч. 1 ст. 166, ст. 168.1 Трудового кодекса РФ).</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1.2. Настоящее Положение определяет перечень должностей и профессий работников Общества, постоянная работа которых носит разъездной характер, а также регламентирует порядок и размеры возмещения расходов, связанных со служебными поездками таких работников.</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 xml:space="preserve">1.3. Для целей настоящего Положения под работой, имеющей разъездной характер, понимается работа, связанная с постоянными служебными поездками работника по г. </w:t>
      </w:r>
      <w:proofErr w:type="spellStart"/>
      <w:r w:rsidRPr="006C7074">
        <w:rPr>
          <w:rFonts w:ascii="Times New Roman" w:hAnsi="Times New Roman" w:cs="Times New Roman"/>
          <w:sz w:val="22"/>
          <w:szCs w:val="22"/>
        </w:rPr>
        <w:t>Энску</w:t>
      </w:r>
      <w:proofErr w:type="spellEnd"/>
      <w:r w:rsidRPr="006C7074">
        <w:rPr>
          <w:rFonts w:ascii="Times New Roman" w:hAnsi="Times New Roman" w:cs="Times New Roman"/>
          <w:sz w:val="22"/>
          <w:szCs w:val="22"/>
        </w:rPr>
        <w:t xml:space="preserve">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1.4. Настоящее Положение распространяется на всех работников Общества (как основных, так и совместителей), постоянная работа которых имеет разъездной характер.</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1.5. Настоящее Положение вступает в силу с момента его утверждения приказом генерального директора и действует до введения нового Положения о разъездном характере работы.</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1.6. Изменения вносятся в действующее Положение с учетом мнения представительного органа работников и утверждаются приказом генерального директора.</w:t>
      </w:r>
    </w:p>
    <w:p w:rsidR="006C7074" w:rsidRPr="006C7074" w:rsidRDefault="006C7074" w:rsidP="006C7074">
      <w:pPr>
        <w:pStyle w:val="ConsNormal"/>
        <w:rPr>
          <w:rFonts w:ascii="Times New Roman" w:hAnsi="Times New Roman" w:cs="Times New Roman"/>
          <w:sz w:val="22"/>
          <w:szCs w:val="22"/>
        </w:rPr>
      </w:pP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2. РАБОТНИКИ, ПОСТОЯННАЯ РАБОТА КОТОРЫХ</w:t>
      </w: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ИМЕЕТ РАЗЪЕЗДНОЙ ХАРАКТЕР</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2.1. Перечень должностей и профессий работников Общества, постоянная работа которых имеет разъездной характер, определен Приложением N 1 к настоящему Положению.</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2.2. Разъездной характер работы может быть установлен работнику как при его приеме на работу на должность (по профессии), указанную в Приложении N 1 к настоящему Положению, так и в процессе работы у Работодателя при переводе работника на должность (профессию), указанную в Приложении N 1.</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2.3. Условия, определяющие разъездной характер работы конкретного работника, подлежат обязательному включению в трудовой договор.</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2.4. Если при заключении (изменении) трудового договора с работником, занимающим предусмотренную Приложением N 1 к настоящему Положению должность (или выполняющим работу по предусмотренной в указанном Приложении профессии), в трудовой договор не были включены условия о разъездном характере работы, то они должны быть внесены в него дополнительным соглашением. Такое соглашение заключается в письменной форме и является неотъемлемой частью трудового договора.</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2.5. Отсутствие в трудовом договоре с работником, занимающим должность, указанную в Приложении N 1 к настоящему Положению (выполняющим работу по указанной там профессии),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2.6. На работу, предусмотренную Приложением N 1 к настоящему Положению, не могут быть приняты (переведены) лица, которым разъездной характер работы противопоказан в соответствии с медицинским заключением.</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2.7.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отсутствии у Работодателя соответствующей работы трудовой договор с работником подлежит прекращению в соответствии с п. 8 ч. 1 ст. 77 ТК РФ.</w:t>
      </w:r>
    </w:p>
    <w:p w:rsidR="006C7074" w:rsidRPr="006C7074" w:rsidRDefault="006C7074" w:rsidP="006C7074">
      <w:pPr>
        <w:pStyle w:val="ConsNormal"/>
        <w:rPr>
          <w:rFonts w:ascii="Times New Roman" w:hAnsi="Times New Roman" w:cs="Times New Roman"/>
          <w:sz w:val="22"/>
          <w:szCs w:val="22"/>
        </w:rPr>
      </w:pP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lastRenderedPageBreak/>
        <w:t>3. СЛУЖЕБНЫЕ ПОЕЗДКИ РАБОТНИКОВ,</w:t>
      </w: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ПОСТОЯННАЯ РАБОТА КОТОРЫХ ИМЕЕТ РАЗЪЕЗДНОЙ ХАРАКТЕР</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3.2. Основанием для направления работника в служебную поездку является оформленное в письменном виде поручение Работодателя (уполномоченного им лица):</w:t>
      </w:r>
    </w:p>
    <w:p w:rsidR="006C7074" w:rsidRPr="006C7074" w:rsidRDefault="006C7074" w:rsidP="006C7074">
      <w:pPr>
        <w:pStyle w:val="ConsNormal"/>
        <w:rPr>
          <w:rFonts w:ascii="Times New Roman" w:hAnsi="Times New Roman" w:cs="Times New Roman"/>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6123"/>
      </w:tblGrid>
      <w:tr w:rsidR="006C7074" w:rsidRPr="006C7074" w:rsidTr="00D82ED0">
        <w:tc>
          <w:tcPr>
            <w:tcW w:w="2942"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center"/>
              <w:rPr>
                <w:sz w:val="22"/>
                <w:szCs w:val="22"/>
              </w:rPr>
            </w:pPr>
            <w:r w:rsidRPr="006C7074">
              <w:rPr>
                <w:sz w:val="22"/>
                <w:szCs w:val="22"/>
              </w:rPr>
              <w:t>Должность (профессия)</w:t>
            </w:r>
          </w:p>
        </w:tc>
        <w:tc>
          <w:tcPr>
            <w:tcW w:w="6123"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center"/>
              <w:rPr>
                <w:sz w:val="22"/>
                <w:szCs w:val="22"/>
              </w:rPr>
            </w:pPr>
            <w:r w:rsidRPr="006C7074">
              <w:rPr>
                <w:sz w:val="22"/>
                <w:szCs w:val="22"/>
              </w:rPr>
              <w:t>Форма документа</w:t>
            </w:r>
          </w:p>
        </w:tc>
      </w:tr>
      <w:tr w:rsidR="006C7074" w:rsidRPr="006C7074" w:rsidTr="00D82ED0">
        <w:tc>
          <w:tcPr>
            <w:tcW w:w="2942"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Курьер</w:t>
            </w:r>
          </w:p>
        </w:tc>
        <w:tc>
          <w:tcPr>
            <w:tcW w:w="6123"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Маршрутный лист (Приложение N 2)</w:t>
            </w:r>
          </w:p>
        </w:tc>
      </w:tr>
      <w:tr w:rsidR="006C7074" w:rsidRPr="006C7074" w:rsidTr="00D82ED0">
        <w:tc>
          <w:tcPr>
            <w:tcW w:w="2942"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Экспедитор</w:t>
            </w:r>
          </w:p>
        </w:tc>
        <w:tc>
          <w:tcPr>
            <w:tcW w:w="6123"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Маршрутный лист (Приложение N 2)</w:t>
            </w:r>
          </w:p>
        </w:tc>
      </w:tr>
      <w:tr w:rsidR="006C7074" w:rsidRPr="006C7074" w:rsidTr="00D82ED0">
        <w:tc>
          <w:tcPr>
            <w:tcW w:w="2942"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Водитель легкового автомобиля</w:t>
            </w:r>
          </w:p>
        </w:tc>
        <w:tc>
          <w:tcPr>
            <w:tcW w:w="6123"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Путевой лист легкового автомобиля (типовая межотраслевая форма N 3, дополненная недостающими обязательными сведениями, утвержденными Приказом Минтранса России от 28.09.2022 N 390)</w:t>
            </w:r>
          </w:p>
        </w:tc>
      </w:tr>
      <w:tr w:rsidR="006C7074" w:rsidRPr="006C7074" w:rsidTr="00D82ED0">
        <w:tc>
          <w:tcPr>
            <w:tcW w:w="2942"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Водитель грузового автомобиля</w:t>
            </w:r>
          </w:p>
        </w:tc>
        <w:tc>
          <w:tcPr>
            <w:tcW w:w="6123" w:type="dxa"/>
            <w:tcBorders>
              <w:top w:val="single" w:sz="6" w:space="0" w:color="auto"/>
              <w:left w:val="single" w:sz="6" w:space="0" w:color="auto"/>
              <w:bottom w:val="single" w:sz="6" w:space="0" w:color="auto"/>
              <w:right w:val="single" w:sz="6" w:space="0" w:color="auto"/>
            </w:tcBorders>
          </w:tcPr>
          <w:p w:rsidR="006C7074" w:rsidRPr="006C7074" w:rsidRDefault="006C7074" w:rsidP="00D82ED0">
            <w:pPr>
              <w:pStyle w:val="ConsDTNormal"/>
              <w:autoSpaceDE/>
              <w:jc w:val="left"/>
              <w:rPr>
                <w:sz w:val="22"/>
                <w:szCs w:val="22"/>
              </w:rPr>
            </w:pPr>
            <w:r w:rsidRPr="006C7074">
              <w:rPr>
                <w:sz w:val="22"/>
                <w:szCs w:val="22"/>
              </w:rPr>
              <w:t>Путевой лист грузового автомобиля (типовая межотраслевая форма N 4-С, дополненная недостающими обязательными сведениями, утвержденными Приказом Минтранса России от 28.09.2022 N 390)</w:t>
            </w:r>
          </w:p>
        </w:tc>
      </w:tr>
    </w:tbl>
    <w:p w:rsidR="006C7074" w:rsidRPr="006C7074" w:rsidRDefault="006C7074" w:rsidP="006C7074">
      <w:pPr>
        <w:pStyle w:val="ConsNormal"/>
        <w:rPr>
          <w:rFonts w:ascii="Times New Roman" w:hAnsi="Times New Roman" w:cs="Times New Roman"/>
          <w:sz w:val="22"/>
          <w:szCs w:val="22"/>
        </w:rPr>
      </w:pP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3.3. Регистрация и выдача (прием) маршрутных листов осуществляются специалистом отдела кадров, выдача (прием) путевых листов - диспетчером транспортного отдела.</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3.4. По окончании служебной поездки работник обязан сдать надлежащим образом заполненный маршрутный лист или путевой лист лицам, указанным в п. 3.3, в течение одного рабочего дня. Документы, подтверждающие фактические расходы работника во время поездки, прилагаются соответственно к маршрутному или путевому листу (за исключением случаев, предусмотренных п. 5.11 настоящего Положения).</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3.5. Регистрация движения маршрутных листов производится в журнале учета движения маршрутных листов (Приложение N 3).</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3.6.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Общества и трудовым договором.</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3.7.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3.8. Работники с разъездным характером работы могут быть направлены по 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rsidR="006C7074" w:rsidRPr="006C7074" w:rsidRDefault="006C7074" w:rsidP="006C7074">
      <w:pPr>
        <w:pStyle w:val="ConsNormal"/>
        <w:rPr>
          <w:rFonts w:ascii="Times New Roman" w:hAnsi="Times New Roman" w:cs="Times New Roman"/>
          <w:sz w:val="22"/>
          <w:szCs w:val="22"/>
        </w:rPr>
      </w:pP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4. ГАРАНТИИ И КОМПЕНСАЦИИ РАБОТНИКАМ,</w:t>
      </w: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ПОСТОЯННАЯ РАБОТА КОТОРЫХ ИМЕЕТ РАЗЪЕЗДНОЙ ХАРАКТЕР</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4.1. Помимо предоставления общих гарантий и компенсаций, предусмотренных Трудовым кодексом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rsidR="006C7074" w:rsidRPr="006C7074" w:rsidRDefault="006C7074" w:rsidP="006C7074">
      <w:pPr>
        <w:pStyle w:val="ConsNormal"/>
        <w:numPr>
          <w:ilvl w:val="0"/>
          <w:numId w:val="1"/>
        </w:numPr>
        <w:tabs>
          <w:tab w:val="clear" w:pos="540"/>
        </w:tabs>
        <w:rPr>
          <w:rFonts w:ascii="Times New Roman" w:hAnsi="Times New Roman" w:cs="Times New Roman"/>
          <w:sz w:val="22"/>
          <w:szCs w:val="22"/>
        </w:rPr>
      </w:pPr>
      <w:r w:rsidRPr="006C7074">
        <w:rPr>
          <w:rFonts w:ascii="Times New Roman" w:hAnsi="Times New Roman" w:cs="Times New Roman"/>
          <w:sz w:val="22"/>
          <w:szCs w:val="22"/>
        </w:rPr>
        <w:t>расходы по проезду;</w:t>
      </w:r>
    </w:p>
    <w:p w:rsidR="006C7074" w:rsidRPr="006C7074" w:rsidRDefault="006C7074" w:rsidP="006C7074">
      <w:pPr>
        <w:pStyle w:val="ConsNormal"/>
        <w:numPr>
          <w:ilvl w:val="0"/>
          <w:numId w:val="1"/>
        </w:numPr>
        <w:tabs>
          <w:tab w:val="clear" w:pos="540"/>
        </w:tabs>
        <w:rPr>
          <w:rFonts w:ascii="Times New Roman" w:hAnsi="Times New Roman" w:cs="Times New Roman"/>
          <w:sz w:val="22"/>
          <w:szCs w:val="22"/>
        </w:rPr>
      </w:pPr>
      <w:r w:rsidRPr="006C7074">
        <w:rPr>
          <w:rFonts w:ascii="Times New Roman" w:hAnsi="Times New Roman" w:cs="Times New Roman"/>
          <w:sz w:val="22"/>
          <w:szCs w:val="22"/>
        </w:rPr>
        <w:t>расходы по найму жилого помещения;</w:t>
      </w:r>
    </w:p>
    <w:p w:rsidR="006C7074" w:rsidRPr="006C7074" w:rsidRDefault="006C7074" w:rsidP="006C7074">
      <w:pPr>
        <w:pStyle w:val="ConsNormal"/>
        <w:numPr>
          <w:ilvl w:val="0"/>
          <w:numId w:val="1"/>
        </w:numPr>
        <w:tabs>
          <w:tab w:val="clear" w:pos="540"/>
        </w:tabs>
        <w:rPr>
          <w:rFonts w:ascii="Times New Roman" w:hAnsi="Times New Roman" w:cs="Times New Roman"/>
          <w:sz w:val="22"/>
          <w:szCs w:val="22"/>
        </w:rPr>
      </w:pPr>
      <w:r w:rsidRPr="006C7074">
        <w:rPr>
          <w:rFonts w:ascii="Times New Roman" w:hAnsi="Times New Roman" w:cs="Times New Roman"/>
          <w:sz w:val="22"/>
          <w:szCs w:val="22"/>
        </w:rPr>
        <w:t>дополнительные расходы, связанные с проживанием вне места постоянного жительства (суточные);</w:t>
      </w:r>
    </w:p>
    <w:p w:rsidR="006C7074" w:rsidRPr="006C7074" w:rsidRDefault="006C7074" w:rsidP="006C7074">
      <w:pPr>
        <w:pStyle w:val="ConsNormal"/>
        <w:numPr>
          <w:ilvl w:val="0"/>
          <w:numId w:val="1"/>
        </w:numPr>
        <w:tabs>
          <w:tab w:val="clear" w:pos="540"/>
        </w:tabs>
        <w:rPr>
          <w:rFonts w:ascii="Times New Roman" w:hAnsi="Times New Roman" w:cs="Times New Roman"/>
          <w:sz w:val="22"/>
          <w:szCs w:val="22"/>
        </w:rPr>
      </w:pPr>
      <w:r w:rsidRPr="006C7074">
        <w:rPr>
          <w:rFonts w:ascii="Times New Roman" w:hAnsi="Times New Roman" w:cs="Times New Roman"/>
          <w:sz w:val="22"/>
          <w:szCs w:val="22"/>
        </w:rPr>
        <w:t>иные расходы, произведенные работником с разрешения или ведома работодателя.</w:t>
      </w:r>
    </w:p>
    <w:p w:rsidR="006C7074" w:rsidRPr="006C7074" w:rsidRDefault="006C7074" w:rsidP="006C7074">
      <w:pPr>
        <w:pStyle w:val="ConsNormal"/>
        <w:rPr>
          <w:rFonts w:ascii="Times New Roman" w:hAnsi="Times New Roman" w:cs="Times New Roman"/>
          <w:sz w:val="22"/>
          <w:szCs w:val="22"/>
        </w:rPr>
      </w:pP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5. РАЗМЕРЫ И ПОРЯДОК ВОЗМЕЩЕНИЯ РАСХОДОВ,</w:t>
      </w:r>
    </w:p>
    <w:p w:rsidR="006C7074" w:rsidRPr="006C7074" w:rsidRDefault="006C7074" w:rsidP="006C7074">
      <w:pPr>
        <w:pStyle w:val="ConsNormal"/>
        <w:jc w:val="center"/>
        <w:rPr>
          <w:rFonts w:ascii="Times New Roman" w:hAnsi="Times New Roman" w:cs="Times New Roman"/>
          <w:sz w:val="22"/>
          <w:szCs w:val="22"/>
        </w:rPr>
      </w:pPr>
      <w:r w:rsidRPr="006C7074">
        <w:rPr>
          <w:rFonts w:ascii="Times New Roman" w:hAnsi="Times New Roman" w:cs="Times New Roman"/>
          <w:b/>
          <w:bCs/>
          <w:sz w:val="22"/>
          <w:szCs w:val="22"/>
        </w:rPr>
        <w:t>СВЯЗАННЫХ СО СЛУЖЕБНЫМИ ПОЕЗДКАМИ</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5.1. Расходы по проезду возмещаются в размере фактических расходов на проезд конкретным видом транспорта; водителям - в размере фактических затрат на приобретение ГСМ в пределах норм, предусмотренных Методическими рекомендациями, утвержденными Распоряжением Минтранса России от 14.03.2008 N АМ-23-р.</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5.2. Размер фактических расходов на проезд конкретным видом транспорта, а также фактических затрат на приобретение ГСМ определяется соответственно на основании проездных документов, квитанций, кассовых чеков, чеков АЗС и иных подтверждающих указанные расходы документов.</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lastRenderedPageBreak/>
        <w:t xml:space="preserve">5.3. В целях возмещения расходов по проезду курьерам ежемесячно не позднее последнего рабочего дня текущего месяца выдается приобретенный за счет средств Работодателя единый проездной билет на автобус, троллейбус, трамвай, метро на следующий месяц. В случае наличия </w:t>
      </w:r>
      <w:proofErr w:type="gramStart"/>
      <w:r w:rsidRPr="006C7074">
        <w:rPr>
          <w:rFonts w:ascii="Times New Roman" w:hAnsi="Times New Roman" w:cs="Times New Roman"/>
          <w:sz w:val="22"/>
          <w:szCs w:val="22"/>
        </w:rPr>
        <w:t>у работника</w:t>
      </w:r>
      <w:proofErr w:type="gramEnd"/>
      <w:r w:rsidRPr="006C7074">
        <w:rPr>
          <w:rFonts w:ascii="Times New Roman" w:hAnsi="Times New Roman" w:cs="Times New Roman"/>
          <w:sz w:val="22"/>
          <w:szCs w:val="22"/>
        </w:rPr>
        <w:t xml:space="preserve"> приобретенного за собственные средства проездного билета работнику возмещается его стоимость. Расходы на проезд иными видами транспорта возмещаются в общем порядке.</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5.4. Расходы по найму жилого помещения возмещаются в размере фактических затрат, но не более 3 000 руб. в сутки.</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5.5. Размер фактических расходов по найму жилого помещения, включая оплату дополнительных услуг, оказываемых в гостиницах (за исключением расходов на обслуживание в барах и ресторанах, обслуживание в номере, на пользование рекреационно-оздоровительными объектами), определяется на основании счетов, счетов-фактур, квитанций, кассовых чеков, актов и иных подтверждающих указанные расходы документов.</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5.6. Суточные (дополнительные расходы, связанные с проживанием вне места постоянного жительства) выплачиваются в размере 1 000 руб. за каждый день служебной поездки, включая выходные и нерабочие праздничные дни, а также дни вынужденной остановки в пути.</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5.7. Если характер выполняемого служебного поручения и условия транспортного сообщения позволяют работнику ежедневно возвращаться к постоянному месту жительства, выплата суточных не производится.</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5.8. Суточные выплачиваются на основании надлежащим образом оформленных маршрутных листов и путевых листов.</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5.9. К иным расходам, подлежащим возмещению в связи со служебными поездками, относятся:</w:t>
      </w:r>
    </w:p>
    <w:p w:rsidR="006C7074" w:rsidRPr="006C7074" w:rsidRDefault="006C7074" w:rsidP="006C7074">
      <w:pPr>
        <w:pStyle w:val="ConsNormal"/>
        <w:numPr>
          <w:ilvl w:val="0"/>
          <w:numId w:val="2"/>
        </w:numPr>
        <w:tabs>
          <w:tab w:val="clear" w:pos="540"/>
        </w:tabs>
        <w:rPr>
          <w:rFonts w:ascii="Times New Roman" w:hAnsi="Times New Roman" w:cs="Times New Roman"/>
          <w:sz w:val="22"/>
          <w:szCs w:val="22"/>
        </w:rPr>
      </w:pPr>
      <w:r w:rsidRPr="006C7074">
        <w:rPr>
          <w:rFonts w:ascii="Times New Roman" w:hAnsi="Times New Roman" w:cs="Times New Roman"/>
          <w:sz w:val="22"/>
          <w:szCs w:val="22"/>
        </w:rPr>
        <w:t>расходы на мобильную связь - в размере не более 1 000 руб. в месяц;</w:t>
      </w:r>
    </w:p>
    <w:p w:rsidR="006C7074" w:rsidRPr="006C7074" w:rsidRDefault="006C7074" w:rsidP="006C7074">
      <w:pPr>
        <w:pStyle w:val="ConsNormal"/>
        <w:numPr>
          <w:ilvl w:val="0"/>
          <w:numId w:val="2"/>
        </w:numPr>
        <w:tabs>
          <w:tab w:val="clear" w:pos="540"/>
        </w:tabs>
        <w:rPr>
          <w:rFonts w:ascii="Times New Roman" w:hAnsi="Times New Roman" w:cs="Times New Roman"/>
          <w:sz w:val="22"/>
          <w:szCs w:val="22"/>
        </w:rPr>
      </w:pPr>
      <w:r w:rsidRPr="006C7074">
        <w:rPr>
          <w:rFonts w:ascii="Times New Roman" w:hAnsi="Times New Roman" w:cs="Times New Roman"/>
          <w:sz w:val="22"/>
          <w:szCs w:val="22"/>
        </w:rPr>
        <w:t>расходы водителя на внеплановый ремонт автомобиля - в размере документально подтвержденных (кассовые чеки, товарные чеки, квитанции и т.п.) фактических затрат.</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5.10. Возмещение работнику расходов, связанных со служебными поездками, производится не позднее 5 числа месяца, следующего за отчетным, на основании оформленных надлежащим образом маршрутных или путевых листов при наличии документов, подтверждающих фактические расходы, связанные со служебной поездкой.</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Выплата суточных и возмещение расходов на мобильную связь производятся на основании маршрутных либо путевых листов. Расходы на мобильную связь возмещаются по фактическим расходам, которые не должны превышать 1 000 руб. в месяц. Расходы подтверждаются детализацией счета оператора связи и ежемесячным актом о размере расходов, подлежащих возмещению, который составляется работником и работодателем.</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5.11. Для выполнения должностных обязанностей в период служебной поездки работникам с разъездным характером работы по их заявлению на основании приказа (распоряжения) Работодателя выдается аванс в счет предстоящих расходов. Сумма аванса, а также срок, на который работнику выдаются денежные средства, определяются приказом (распоряжением) Работодателя.</w:t>
      </w:r>
    </w:p>
    <w:p w:rsidR="006C7074" w:rsidRPr="006C7074" w:rsidRDefault="006C7074" w:rsidP="006C7074">
      <w:pPr>
        <w:pStyle w:val="ConsNormal"/>
        <w:rPr>
          <w:rFonts w:ascii="Times New Roman" w:hAnsi="Times New Roman" w:cs="Times New Roman"/>
          <w:sz w:val="22"/>
          <w:szCs w:val="22"/>
        </w:rPr>
      </w:pPr>
      <w:r w:rsidRPr="006C7074">
        <w:rPr>
          <w:rFonts w:ascii="Times New Roman" w:hAnsi="Times New Roman" w:cs="Times New Roman"/>
          <w:sz w:val="22"/>
          <w:szCs w:val="22"/>
        </w:rPr>
        <w:t>5.12. Указанные в п. 5.11 работники обязаны не позднее трех рабочих дней по истечении срока, на который были выданы деньги, представить в бухгалтерию отчет по израсходованным суммам по форме N АО-1, утвержденной Постановлением Госкомстата России от 01.08.2001 N 55, с приложением подтверждающих расходы документов. Остаток неиспользованного аванса подлежит сдаче в кассу Общества, а перерасход компенсируется работнику в порядке, предусмотренном п. 5.10 настоящего Положения.</w:t>
      </w:r>
    </w:p>
    <w:p w:rsidR="000C55D6" w:rsidRDefault="006C7074"/>
    <w:sectPr w:rsidR="000C55D6" w:rsidSect="006C7074">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63"/>
    <w:rsid w:val="003C4463"/>
    <w:rsid w:val="00531BC6"/>
    <w:rsid w:val="006C7074"/>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68DB"/>
  <w15:chartTrackingRefBased/>
  <w15:docId w15:val="{D92D87BD-B9F2-455D-AC28-664FD194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74"/>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707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6C7074"/>
    <w:pPr>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2024-07-24T08:00:00Z</dcterms:created>
  <dcterms:modified xsi:type="dcterms:W3CDTF">2024-07-24T08:05:00Z</dcterms:modified>
</cp:coreProperties>
</file>