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Times New Roman" w:cs="Times New Roman"/>
        </w:rPr>
        <w:t xml:space="preserve">ЛИСТ ОЗНАКОМЛЕНИЯ С ДОЛЖНОСТНОЙ ИНСТРУКЦИЕЙ</w:t>
      </w:r>
      <w:r>
        <w:rPr>
          <w:rFonts w:ascii="Times New Roman" w:hAnsi="Times New Roman" w:eastAsia="Times New Roman" w:cs="Times New Roman"/>
        </w:rPr>
      </w:r>
    </w:p>
    <w:p>
      <w:pPr>
        <w:pStyle w:val="620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highlight w:val="none"/>
        </w:rPr>
        <w:t xml:space="preserve">ВОСПИТАТЕЛЯ ДОУ</w:t>
      </w:r>
      <w:r>
        <w:rPr>
          <w:rFonts w:ascii="Times New Roman" w:hAnsi="Times New Roman" w:eastAsia="Times New Roman" w:cs="Times New Roman"/>
          <w:highlight w:val="none"/>
        </w:rPr>
      </w:r>
    </w:p>
    <w:p>
      <w:pPr>
        <w:pStyle w:val="620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highlight w:val="none"/>
        </w:rPr>
      </w:r>
      <w:r>
        <w:rPr>
          <w:rFonts w:ascii="Times New Roman" w:hAnsi="Times New Roman" w:eastAsia="Times New Roman" w:cs="Times New Roman"/>
          <w:highlight w:val="none"/>
        </w:rPr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</w:p>
        </w:tc>
        <w:tc>
          <w:tcPr>
            <w:tcW w:w="18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</w:rPr>
              <w:t xml:space="preserve">ФИО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</w:p>
        </w:tc>
        <w:tc>
          <w:tcPr>
            <w:tcW w:w="18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</w:rPr>
              <w:t xml:space="preserve">ДАТА ОЗНАКОМЛЕНИЯ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</w:p>
        </w:tc>
        <w:tc>
          <w:tcPr>
            <w:tcW w:w="18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</w:rPr>
              <w:t xml:space="preserve">ПОДПИСЬ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</w:p>
        </w:tc>
        <w:tc>
          <w:tcPr>
            <w:tcW w:w="18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</w:rPr>
              <w:t xml:space="preserve">ПРИМЕЧАНИЕ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jc w:val="center"/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2024-04-25T21:03:29Z</dcterms:modified>
</cp:coreProperties>
</file>