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bookmarkStart w:id="2" w:name="_GoBack"/>
      <w:bookmarkEnd w:id="2"/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ТЕХНИЧЕСКОЕ ЗАДАНИЕ</w:t>
      </w:r>
    </w:p>
    <w:p>
      <w:pPr>
        <w:ind w:firstLine="567"/>
        <w:jc w:val="both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p>
      <w:pPr>
        <w:ind w:firstLine="567"/>
        <w:jc w:val="both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 xml:space="preserve">1. Перечень оказываемых услуг </w:t>
      </w:r>
      <w:r>
        <w:rPr>
          <w:rFonts w:hint="default" w:ascii="Times New Roman" w:hAnsi="Times New Roman" w:eastAsia="Calibri" w:cs="Times New Roman"/>
          <w:b/>
          <w:bCs/>
          <w:color w:val="auto"/>
          <w:sz w:val="20"/>
          <w:szCs w:val="20"/>
        </w:rPr>
        <w:t xml:space="preserve">по </w:t>
      </w:r>
      <w:r>
        <w:rPr>
          <w:rFonts w:hint="default" w:ascii="Times New Roman" w:hAnsi="Times New Roman" w:eastAsia="Lucida Sans Unicode" w:cs="Times New Roman"/>
          <w:b/>
          <w:color w:val="auto"/>
          <w:kern w:val="3"/>
          <w:sz w:val="20"/>
          <w:szCs w:val="20"/>
          <w:lang w:bidi="hi-IN"/>
        </w:rPr>
        <w:t>проведению периодического медицинского осмотра работников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:</w:t>
      </w:r>
    </w:p>
    <w:tbl>
      <w:tblPr>
        <w:tblStyle w:val="3"/>
        <w:tblpPr w:leftFromText="180" w:rightFromText="180" w:vertAnchor="text" w:horzAnchor="page" w:tblpX="235" w:tblpY="81"/>
        <w:tblOverlap w:val="never"/>
        <w:tblW w:w="16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908"/>
        <w:gridCol w:w="3839"/>
        <w:gridCol w:w="255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76" w:type="dxa"/>
            <w:shd w:val="clear" w:color="auto" w:fill="auto"/>
            <w:vAlign w:val="top"/>
          </w:tcPr>
          <w:p>
            <w:pPr>
              <w:suppressLineNumbers/>
              <w:snapToGrid w:val="0"/>
              <w:spacing w:after="200" w:line="276" w:lineRule="auto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kern w:val="3"/>
                <w:sz w:val="20"/>
                <w:szCs w:val="20"/>
              </w:rPr>
              <w:t>№</w:t>
            </w:r>
            <w:r>
              <w:rPr>
                <w:rFonts w:hint="default" w:ascii="Times New Roman" w:hAnsi="Times New Roman" w:eastAsia="Calibri" w:cs="Times New Roman"/>
                <w:color w:val="auto"/>
                <w:kern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kern w:val="3"/>
                <w:sz w:val="20"/>
                <w:szCs w:val="20"/>
              </w:rPr>
              <w:t>пп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suppressLineNumbers/>
              <w:snapToGri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suppressLineNumbers/>
              <w:snapToGri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Нормативный документ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suppressLineNumbers/>
              <w:snapToGri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suppressLineNumbers/>
              <w:snapToGri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Кол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ru-RU"/>
              </w:rPr>
              <w:t>ичест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работников пищеблока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(женщины до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Приказ МЗ РФ №29н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от 28.01.2021 г. 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раздел 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VI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23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работников пищеблока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(женщины после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Приказ МЗ РФ №29н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от 28.01.2021 г.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23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работников пищеблока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(мужчины до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Приказ МЗ РФ №29н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от 28.01.2021 г.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VI, п. 23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остальных работников медицинской организации 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(женщины до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Приказ МЗ РФ №29н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от 28.01.2021 г.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VI, п. 27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остальных работников медицинской организации 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(женщины после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Приказ МЗ РФ №29н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от 28.01.2021 г. 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27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остальных работников медицинской организации 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(мужчины до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Приказ МЗ РФ №29н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от 28.01.2021 г. 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27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Оказание услуг по проведению периодического медицинского осмотра остальных работников медицинской организации  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(мужчины после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Приказ МЗ РФ №29н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от 28.01.2021 г.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27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Оказание услуг по проведению периодического медицинского осмотра водителей категории «В»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(мужчины до 40 лет)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Приказ МЗ РФ №29н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от 28.01.2021 г. 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18.1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right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6908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Оказание услуг по проведению периодического медицинского осмотра водителей категории «В»</w:t>
            </w:r>
          </w:p>
          <w:p>
            <w:pPr>
              <w:autoSpaceDE w:val="0"/>
              <w:adjustRightInd w:val="0"/>
              <w:ind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(мужчины после 40 лет)</w:t>
            </w:r>
          </w:p>
        </w:tc>
        <w:tc>
          <w:tcPr>
            <w:tcW w:w="3839" w:type="dxa"/>
            <w:shd w:val="clear" w:color="auto" w:fill="auto"/>
            <w:vAlign w:val="top"/>
          </w:tcPr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Приказ МЗ РФ №29н 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от 28.01.2021 г.</w:t>
            </w:r>
          </w:p>
          <w:p>
            <w:pPr>
              <w:autoSpaceDE w:val="0"/>
              <w:adjustRightInd w:val="0"/>
              <w:ind w:left="112" w:firstLine="249"/>
              <w:jc w:val="both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раздел V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, п. 18.1</w:t>
            </w:r>
          </w:p>
        </w:tc>
        <w:tc>
          <w:tcPr>
            <w:tcW w:w="255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249"/>
              <w:jc w:val="center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7</w:t>
            </w:r>
          </w:p>
        </w:tc>
      </w:tr>
    </w:tbl>
    <w:p>
      <w:pPr>
        <w:ind w:firstLine="567"/>
        <w:jc w:val="both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spacing w:line="276" w:lineRule="auto"/>
        <w:ind w:firstLine="567"/>
        <w:jc w:val="both"/>
        <w:rPr>
          <w:rFonts w:hint="default" w:ascii="Times New Roman" w:hAnsi="Times New Roman" w:eastAsia="Lucida Sans Unicode" w:cs="Times New Roman"/>
          <w:color w:val="auto"/>
          <w:kern w:val="3"/>
          <w:sz w:val="20"/>
          <w:szCs w:val="20"/>
          <w:lang w:bidi="hi-IN"/>
        </w:rPr>
      </w:pPr>
    </w:p>
    <w:p>
      <w:pPr>
        <w:spacing w:line="276" w:lineRule="auto"/>
        <w:ind w:firstLine="567"/>
        <w:jc w:val="both"/>
        <w:rPr>
          <w:rFonts w:hint="default" w:ascii="Times New Roman" w:hAnsi="Times New Roman" w:eastAsia="Lucida Sans Unicode" w:cs="Times New Roman"/>
          <w:b/>
          <w:color w:val="auto"/>
          <w:kern w:val="3"/>
          <w:sz w:val="20"/>
          <w:szCs w:val="20"/>
          <w:lang w:bidi="hi-IN"/>
        </w:rPr>
      </w:pPr>
      <w:r>
        <w:rPr>
          <w:rFonts w:hint="default" w:ascii="Times New Roman" w:hAnsi="Times New Roman" w:eastAsia="Lucida Sans Unicode" w:cs="Times New Roman"/>
          <w:b/>
          <w:color w:val="auto"/>
          <w:kern w:val="3"/>
          <w:sz w:val="20"/>
          <w:szCs w:val="20"/>
          <w:lang w:bidi="hi-IN"/>
        </w:rPr>
        <w:t>2. Требования к исполнителю:</w:t>
      </w:r>
    </w:p>
    <w:p>
      <w:pPr>
        <w:spacing w:line="276" w:lineRule="auto"/>
        <w:ind w:firstLine="567"/>
        <w:jc w:val="both"/>
        <w:rPr>
          <w:rFonts w:hint="default" w:ascii="Times New Roman" w:hAnsi="Times New Roman" w:cs="Times New Roman"/>
          <w:bCs/>
          <w:color w:val="auto"/>
          <w:sz w:val="20"/>
          <w:szCs w:val="20"/>
        </w:rPr>
      </w:pPr>
      <w:r>
        <w:rPr>
          <w:rFonts w:hint="default" w:ascii="Times New Roman" w:hAnsi="Times New Roman" w:eastAsia="Lucida Sans Unicode" w:cs="Times New Roman"/>
          <w:color w:val="auto"/>
          <w:kern w:val="3"/>
          <w:sz w:val="20"/>
          <w:szCs w:val="20"/>
          <w:lang w:bidi="hi-IN"/>
        </w:rPr>
        <w:t xml:space="preserve">Исполнитель обязан обеспечить соответствие оказываемых им медицинских услуг требованиям действующего законодательства. </w:t>
      </w:r>
    </w:p>
    <w:p>
      <w:pPr>
        <w:widowControl w:val="0"/>
        <w:autoSpaceDN w:val="0"/>
        <w:ind w:firstLine="567"/>
        <w:contextualSpacing/>
        <w:jc w:val="both"/>
        <w:textAlignment w:val="baseline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Исполнитель обязан обеспечить соответствие оказываемых им медицинских услуг требованиям действующего законодательства. </w:t>
      </w:r>
    </w:p>
    <w:p>
      <w:pPr>
        <w:widowControl w:val="0"/>
        <w:autoSpaceDN w:val="0"/>
        <w:ind w:firstLine="567"/>
        <w:contextualSpacing/>
        <w:jc w:val="both"/>
        <w:textAlignment w:val="baseline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Исполнитель предоставляет медицинские услуги, согласно Приказа МЗ РФ от 28.01.2021 г. № 29н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«</w:t>
      </w:r>
      <w:r>
        <w:rPr>
          <w:rFonts w:hint="default" w:ascii="Times New Roman" w:hAnsi="Times New Roman" w:eastAsia="Lucida Sans Unicode" w:cs="Times New Roman"/>
          <w:color w:val="auto"/>
          <w:kern w:val="3"/>
          <w:sz w:val="20"/>
          <w:szCs w:val="20"/>
          <w:lang w:bidi="hi-IN"/>
        </w:rPr>
        <w:t>О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>
      <w:pPr>
        <w:widowControl w:val="0"/>
        <w:autoSpaceDN w:val="0"/>
        <w:ind w:firstLine="567"/>
        <w:contextualSpacing/>
        <w:jc w:val="both"/>
        <w:textAlignment w:val="baseline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Забор анализов производить только одноразовыми медицинскими инструментами, использовать только одноразовый расходный материал: медицинские перчатки, бе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с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контактные пробирки, гинекологические зеркала, зонды и т.д.</w:t>
      </w:r>
    </w:p>
    <w:p>
      <w:pPr>
        <w:spacing w:before="120" w:line="276" w:lineRule="auto"/>
        <w:ind w:firstLine="567"/>
        <w:jc w:val="both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3. Условия оказания услуг:</w:t>
      </w:r>
    </w:p>
    <w:p>
      <w:pPr>
        <w:adjustRightInd w:val="0"/>
        <w:spacing w:line="276" w:lineRule="auto"/>
        <w:ind w:firstLine="540"/>
        <w:jc w:val="both"/>
        <w:outlineLvl w:val="1"/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Все необходимые лабораторные и инструментальные обследования проводятся в течение одного рабочего дня.</w:t>
      </w:r>
    </w:p>
    <w:p>
      <w:pPr>
        <w:autoSpaceDN w:val="0"/>
        <w:spacing w:line="276" w:lineRule="auto"/>
        <w:ind w:firstLine="567"/>
        <w:jc w:val="both"/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При проведении периодического осмотра работника учитываются результаты ранее проведенных диспансеризации, иных медицинских осмотров, подтвержденных медицинскими документами,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периодического осмотра.</w:t>
      </w:r>
    </w:p>
    <w:p>
      <w:pPr>
        <w:autoSpaceDN w:val="0"/>
        <w:spacing w:line="276" w:lineRule="auto"/>
        <w:ind w:firstLine="567"/>
        <w:jc w:val="both"/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Рентгенография грудной клетки не входит в стоимость периодического медицинского осмотра (работники Заказчика проходят обследование по месту жительства).</w:t>
      </w:r>
    </w:p>
    <w:p>
      <w:pPr>
        <w:autoSpaceDN w:val="0"/>
        <w:spacing w:line="276" w:lineRule="auto"/>
        <w:ind w:firstLine="567"/>
        <w:jc w:val="both"/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Приём работников Заказчика не должен осуществляться одновременно несколькими врачами-специалистами в одном помещении.</w:t>
      </w:r>
    </w:p>
    <w:p>
      <w:pPr>
        <w:autoSpaceDN w:val="0"/>
        <w:spacing w:line="276" w:lineRule="auto"/>
        <w:ind w:firstLine="567"/>
        <w:jc w:val="both"/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Проведение предварительных и периодических медосмотров должно быть организовано из расчёта экономии времени сотрудников Заказчика, без очередей и при наличии всех врачей-специалистов согласно представленному перечню услуг.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lang w:eastAsia="ar-SA"/>
        </w:rPr>
        <w:t>Результаты лабораторных и инструментальных исследований, заключения врачей-специалистов, заключение по результатам периодического медицинского осмотра работника, проходящего периодический осмотр, заносятся в личную медицинскую книжку.</w:t>
      </w:r>
      <w:bookmarkStart w:id="0" w:name="Par46"/>
      <w:bookmarkEnd w:id="0"/>
      <w:bookmarkStart w:id="1" w:name="_ЗАПУСК_ПРОГРАММЫ"/>
      <w:bookmarkEnd w:id="1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7F6B"/>
    <w:rsid w:val="2DC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nformat"/>
    <w:qFormat/>
    <w:uiPriority w:val="0"/>
    <w:pPr>
      <w:widowControl w:val="0"/>
      <w:suppressAutoHyphens/>
    </w:pPr>
    <w:rPr>
      <w:rFonts w:ascii="Courier New" w:hAnsi="Courier New" w:eastAsia="SimSun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2021-05-21T06:02:00Z</dcterms:created>
  <dc:creator>odayn</dc:creator>
  <cp:lastModifiedBy>odayn</cp:lastModifiedBy>
  <dcterms:modified xsi:type="dcterms:W3CDTF">2021-05-21T06:05:04Z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