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right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Утвержден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приказом Минэкономразвития России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от 01.08.2018 N 411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ТИПОВОЙ УСТАВ N 1,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НА ОСНОВАНИИ КОТОРОГО ДЕЙСТВУЕТ ОБЩЕСТВО С ОГРАНИЧЕННОЙ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ОТВЕТСТВЕННОСТЬЮ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I. Общие положения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II. Права и обязанности участников Общества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2. Участники Общества имеют права и несут </w:t>
      </w:r>
      <w:bookmarkStart w:id="0" w:name="_GoBack"/>
      <w:bookmarkEnd w:id="0"/>
      <w:r>
        <w:rPr>
          <w:rFonts w:hint="default" w:ascii="Times New Roman" w:hAnsi="Times New Roman" w:eastAsia="Times New Roman"/>
          <w:sz w:val="24"/>
        </w:rPr>
        <w:t xml:space="preserve">обязанности, предусмотренные Гражданским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 и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от 8 февраля 1998 г. N 14-ФЗ "Об обществах с ограниченной ответственностью" (далее - Федеральный закон "Об обществах с ограниченной ответственностью").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III. Порядок перехода доли или части доли участника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Общества в уставном капитале Общества к другому лицу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IV. Выход участника из Общества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 Выход участника из Общества не предусмотрен.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V. Управление в Обществе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 Высшим органом Общества является общее собрание участников Общества.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"Об обществах с ограниченной ответственностью".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"Об обществах с ограниченной ответственностью".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VI. Порядок хранения документов Общества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и порядок предоставления информации участникам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Общества и другим лицам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12. Общество хранит документы, предусмотренные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"Об обществах с ограниченной ответственностью".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VII. Сделки Общества, в совершении которых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имеется заинтересованность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законом</w:t>
      </w:r>
      <w:r>
        <w:rPr>
          <w:rFonts w:hint="default" w:ascii="Times New Roman" w:hAnsi="Times New Roman" w:eastAsia="Times New Roman"/>
          <w:sz w:val="24"/>
        </w:rPr>
        <w:t xml:space="preserve"> "Об обществах с ограниченной ответственностью".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eastAsia="Times New Roman"/>
          <w:b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VIII. Реорганизация и ликвидация Общества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/>
    <w:sectPr>
      <w:pgSz w:w="11905" w:h="16838"/>
      <w:pgMar w:top="94" w:right="324" w:bottom="164" w:left="24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2019-03-18T10:21:00Z</dcterms:created>
  <dc:creator>Редактор</dc:creator>
  <cp:lastModifiedBy>Редактор</cp:lastModifiedBy>
  <dcterms:modified xsi:type="dcterms:W3CDTF">2019-03-18T10:26:20Z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