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contextualSpacing w:val="0"/>
        <w:jc w:val="both"/>
        <w:rPr/>
      </w:pPr>
      <w:bookmarkStart w:colFirst="0" w:colLast="0" w:name="_8ovmxpvmtcil" w:id="0"/>
      <w:bookmarkEnd w:id="0"/>
      <w:r w:rsidDel="00000000" w:rsidR="00000000" w:rsidRPr="00000000">
        <w:rPr>
          <w:rtl w:val="0"/>
        </w:rPr>
        <w:t xml:space="preserve">ТИПОВОЕ ПОЛОЖЕНИЕ О СИСТЕМЕ УПРАВЛЕНИЯ ОХРАНОЙ ТРУДА</w:t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rybdfgpi0fxb" w:id="1"/>
      <w:bookmarkEnd w:id="1"/>
      <w:r w:rsidDel="00000000" w:rsidR="00000000" w:rsidRPr="00000000">
        <w:rPr>
          <w:rtl w:val="0"/>
        </w:rPr>
        <w:t xml:space="preserve">I. Общие положения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 СУОТ должна быть совместимой с другими системами управления, действующими у работодателя.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труда. Упрощение осуществляется с учетом специфики деятельности работодателя путем сокращения предусмотренных пунктом 19 настоящего Типового положения уровней управления между работником и работодателем в целом с установлением обязанностей в соответствии с пунктами 22 и 25 настоящего Типового положения.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 СУОТ представляет собой единство: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организационных структур управления работодателя с фиксированными обязанностями его должностных лиц;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устанавливающей (локальные нормативные акты работодателя) и фиксирующей (журналы, акты, записи) документации.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 Действие СУОТ распространяется на всей территории, во всех зданиях и сооружениях работодателя.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8. В положение о СУОТ с учетом специфики деятельности работодателя включаются следующие разделы (подразделы):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политика работодателя в области охраны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цели работодателя в области охраны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процедуры, направленные на достижение целей работодателя в области охраны труда (далее - процедуры), включая: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процедуру подготовки работников по охране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процедуру организации и проведения оценки условий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процедуру управления профессиональными рисками;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процедуру организации и проведения наблюдения за состоянием здоровья работников;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процедуру обеспечения оптимальных режимов труда и отдыха работников;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процедуру обеспечения работников молоком и другими равноценными пищевыми продуктами, лечебно-профилактическим питанием;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процедуры обеспечения безопасного выполнения подрядных работ и снабжения безопасной продукцией;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планирование мероприятий по реализации процедур;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е) контроль функционирования СУОТ и мониторинг реализации процедур;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ж) планирование улучшений функционирования СУОТ;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з) реагирование на аварии, несчастные случаи и профессиональные заболевания;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и) управление документами СУОТ.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8kq72xx51nql" w:id="2"/>
      <w:bookmarkEnd w:id="2"/>
      <w:r w:rsidDel="00000000" w:rsidR="00000000" w:rsidRPr="00000000">
        <w:rPr>
          <w:rtl w:val="0"/>
        </w:rPr>
        <w:t xml:space="preserve">II. Политика работодателя в области охраны труда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10. Политика по охране труда обеспечивает: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приоритет сохранения жизни и здоровья работников в процессе их трудовой деятельности;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соответствие условий труда на рабочих местах требованиям охраны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непрерывное совершенствование и повышение эффективности СУОТ;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ж) личную заинтересованность в обеспечении, насколько это возможно, безопасных условий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з) выполнение иных обязанностей в области охраны труда исходя из специфики своей деятельности.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11. В Политике по охране труда отражаются: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положения о соответствии условий труда на рабочих местах работодателя требованиям охраны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обязательства работодателя по предотвращению травматизма и ухудшения здоровья работников;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порядок совершенствования функционирования СУОТ.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69w8tvgn86g5" w:id="3"/>
      <w:bookmarkEnd w:id="3"/>
      <w:r w:rsidDel="00000000" w:rsidR="00000000" w:rsidRPr="00000000">
        <w:rPr>
          <w:rtl w:val="0"/>
        </w:rPr>
        <w:t xml:space="preserve">III. Цели работодателя в области охраны труда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V настоящего Типового положения.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15. Количество целей определяется спецификой деятельности работодателя.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4vk875eb2rdn" w:id="4"/>
      <w:bookmarkEnd w:id="4"/>
      <w:r w:rsidDel="00000000" w:rsidR="00000000" w:rsidRPr="00000000">
        <w:rPr>
          <w:rtl w:val="0"/>
        </w:rPr>
        <w:t xml:space="preserve">IV.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17. 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19. В качестве уровней управления могут рассматриваться: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уровень производственной бригады;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уровень производственного участка;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уровень производственного цеха (структурного подразделения);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уровень филиала (обособленного структурного подразделения);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уровень службы (совокупности нескольких структурных подразделений);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е) уровень работодателя в целом.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22. На уровнях управления, указанных в подпунктах "а" и "б" пункта 19 настоящего Типового положения, устанавливаются обязанности в сфере охраны труда: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непосредственно работников;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руководителей трудовых коллективов (бригадира, мастера);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руководителей производственных участков, их заместителей;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руководителей производственных цехов (структурных подразделений), их заместителей;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23. На уровне управления, указанном в подпункте "в" пункта 19 настоящего Типового положения, устанавливаются обязанности в сфере охраны труда: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руководителей производственных участков, их заместителей;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руководителей производственных цехов (структурных подразделений), их заместителей;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24. На уровне управления, указанном в подпункте "г" пункта 19 настоящего Типового положения, устанавливаются обязанности в сфере охраны труда: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руководителей служб и структурных подразделений филиала, их заместителей;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руководителей производственных участков структурных подразделений филиала, их заместителей.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25. На уровнях управления, указанных в подпунктах "д" и "е" пункта 19 настоящего Типового положения, устанавливаются обязанности в сфере охраны труда: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непосредственно самого работодателя, его представителей или назначенного им единоличного исполнительного органа;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заместителей руководителя организации по направлениям производственной деятельности;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заместителя руководителя, ответственного за организацию работ по охране труда.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29. В качестве обязанностей в сфере охраны труда могут устанавливаться следующие: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работодатель самостоятельно: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соблюдение режима труда и отдыха работников;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организовывает ресурсное обеспечение мероприятий по охране труда;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создание и функционирование СУОТ;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комплектование службы охраны труда квалифицированными специалистами;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приобретение и функционирование средств коллективной защиты;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проведение специальной оценки условий труда;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управление профессиональными рисками;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и проводит контроль за состоянием условий и охраны труда;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содействует работе комитета (комиссии) по охране труда, уполномоченных работниками представительных органов;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работодатель через своих заместителей, руководителей структурных подразделений: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наличие и функционирование необходимых приборов и систем контроля за производственными процессами;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приостанавливает работы в случаях, установленных требованиями охраны труда;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работник: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контроле за состоянием условий и охраны труда;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содержит в чистоте свое рабочее место;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 началом рабочей смены (рабочего дня) проводит осмотр своего рабочего места;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следит за исправностью оборудования и инструментов на своем рабочем месте;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правильно использует средства индивидуальной и коллективной защиты и приспособления, обеспечивающие безопасность труда;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принимает меры по оказанию первой помощи пострадавшим на производстве;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служба (специалист) охраны труда: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функционирование СУОТ;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осуществляет контроль за состоянием условий и охраны труда;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осуществляет оперативную и консультативную связь с органами государственной власти по вопросам охраны труда;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разработке и пересмотре локальных актов по охране труда;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организации и проведении подготовки по охране труда;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организации и проведении специальной оценки условий труда;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управлении профессиональными рисками;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и проводит проверки состояния охраны труда в структурных подразделениях работодателя;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руководитель структурного подразделения работодателя: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условия труда, соответствующие требованиям охраны труда, в структурном подразделении работодателя;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функционирование СУОТ;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несет ответственность за ненадлежащее выполнение возложенных на него обязанностей в сфере охраны труда;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содействует работе комитета (комиссии) по охране труда, уполномоченных работниками представительных органов;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проведение подготовки по охране труда;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организации проведения специальной оценки условий труда;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организации управления профессиональными рисками;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организации и проведении контроля за состоянием условий и охраны труда в структурном подразделении;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приостанавливает работы в структурном подразделении в случаях, установленных требованиями охраны труда;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е) начальник производственного участка: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организации проведения специальной оценки условий труда;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организации управления профессиональными рисками;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организации и проведении контроля за состоянием условий и охраны труда на производственном участке;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ж) мастер, бригадир производственной бригады: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организации проведения специальной оценки условий труда;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организации управления профессиональными рисками;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участвует в организации и проведении контроля за состоянием условий и охраны труда в производственной бригаде;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несет ответственность за невыполнение членами производственной бригады требований охраны труда.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mxa4089m2c5t" w:id="5"/>
      <w:bookmarkEnd w:id="5"/>
      <w:r w:rsidDel="00000000" w:rsidR="00000000" w:rsidRPr="00000000">
        <w:rPr>
          <w:rtl w:val="0"/>
        </w:rPr>
        <w:t xml:space="preserve">V. Процедуры, направленные на достижение целей работодателя в области охраны труда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перечень профессий (должностей) работников, проходящих подготовку по охране труда у работодателя;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перечень профессий (должностей) работников, освобожденных от прохождения первичного инструктажа на рабочем месте;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ж) вопросы, включаемые в программу инструктажа по охране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з) состав комиссии работодателя по проверке знаний требований охраны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и) регламент работы комиссии работодателя по проверке знаний требований охраны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к) перечень вопросов по охране труда, по которым работники проходят проверку знаний в комиссии работодателя;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м) порядок организации и проведения инструктажа по охране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н) порядок организации и проведения стажировки на рабочем месте и подготовки по охране труда.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порядок урегулирования споров по вопросам специальной оценки условий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е) порядок использования результатов специальной оценки условий труда.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выявление опасностей;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оценка уровней профессиональных рисков;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снижение уровней профессиональных рисков.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механические опасности: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падения из-за внезапного появления на пути следования большого перепада высот;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удара;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быть уколотым или проткнутым в результате воздействия движущихся колющих частей механизмов, машин;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натыкания на неподвижную колющую поверхность (острие);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запутаться, в том числе в растянутых по полу сварочных проводах, тросах, нитях;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затягивания или попадания в ловушку;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затягивания в подвижные части машин и механизмов;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наматывания волос, частей одежды, средств индивидуальной защиты;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жидкости под давлением при выбросе (прорыве);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газа под давлением при выбросе (прорыве);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механического упругого элемента;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травмирования от трения или абразивного воздействия при соприкосновении;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падения груза;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разрезания, отрезания от воздействия острых кромок при контакте с незащищенными участками тела;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от воздействия режущих инструментов (дисковые ножи, дисковые пилы);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разрыва;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электрические опасности: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поражения электростатическим зарядом;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поражения током от наведенного напряжения на рабочем месте;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поражения вследствие возникновения электрической дуги;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поражения при прямом попадании молнии;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косвенного поражения молнией;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в) термические опасности: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ожога при контакте незащищенных частей тела с поверхностью предметов, имеющих высокую температуру;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ожога от воздействия на незащищенные участки тела материалов, жидкостей или газов, имеющих высокую температуру;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ожога от воздействия открытого пламени;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теплового удара от воздействия окружающих поверхностей оборудования, имеющих высокую температуру;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теплового удара при длительном нахождении вблизи открытого пламени;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теплового удара при длительном нахождении в помещении с высокой температурой воздуха;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ожог роговицы глаза;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от воздействия на незащищенные участки тела материалов, жидкостей или газов, имеющих низкую температуру;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опасности, связанные с воздействием микроклимата и климатические опасности: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пониженных температур воздуха;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повышенных температур воздуха;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влажности;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скорости движения воздуха;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опасности из-за недостатка кислорода в воздухе: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недостатка кислорода в замкнутых технологических емкостях;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недостатка кислорода из-за вытеснения его другими газами или жидкостями;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недостатка кислорода в подземных сооружениях;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недостатка кислорода в безвоздушных средах;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е) барометрические опасности: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неоптимального барометрического давления;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от повышенного барометрического давления;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от пониженного барометрического давления;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от резкого изменения барометрического давления;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ж) опасности, связанные с воздействием химического фактора: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от контакта с высокоопасными веществами;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от вдыхания паров вредных жидкостей, газов, пыли, тумана, дыма;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образования токсичных паров при нагревании;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на кожные покровы смазочных масел;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на кожные покровы чистящих и обезжиривающих веществ;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з) опасности, связанные с воздействием аэрозолей преимущественно фиброгенного действия: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пыли на глаза;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повреждения органов дыхания частицами пыли;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пыли на кожу;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выбросом пыли;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опасности воздействия воздушных взвесей вредных химических веществ;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на органы дыхания воздушных взвесей, содержащих смазочные масла;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на органы дыхания воздушных смесей, содержащих чистящие и обезжиривающие вещества;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и) опасности, связанные с воздействием биологического фактора: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из-за воздействия микроорганизмов-продуцентов, препаратов, содержащих живые клетки и споры микроорганизмов;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из-за контакта с патогенными микроорганизмами;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опасности из-за укуса переносчиков инфекций;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к) опасности, связанные с воздействием тяжести и напряженности трудового процесса: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перемещением груза вручную;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от подъема тяжестей, превышающих допустимый вес;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наклонами корпуса;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рабочей позой;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вредных для здоровья поз, связанных с чрезмерным напряжением тела;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физических перегрузок от периодического поднятия тяжелых узлов и деталей машин;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психических нагрузок, стрессов;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перенапряжения зрительного анализатора;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л) опасности, связанные с воздействием шума: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повреждения мембранной перепонки уха, связанная с воздействием шума высокой интенсивности;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возможностью не услышать звуковой сигнал об опасности;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м) опасности, связанные с воздействием вибрации: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от воздействия локальной вибрации при использовании ручных механизмов;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воздействием общей вибрации;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н) опасности, связанные с воздействием световой среды: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недостаточной освещенности в рабочей зоне;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повышенной яркости света;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пониженной контрастности;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о) опасности, связанные с воздействием неионизирующих излучений: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ослаблением геомагнитного поля;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воздействием электростатического поля;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воздействием постоянного магнитного поля;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воздействием электрического поля промышленной частоты;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воздействием магнитного поля промышленной частоты;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от электромагнитных излучений;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воздействием лазерного излучения;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воздействием ультрафиолетового излучения;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п) опасности, связанные с воздействием ионизирующих излучений: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воздействием гамма-излучения;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воздействием рентгеновского излучения;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воздействием альфа-, бета-излучений, электронного или ионного и нейтронного излучений;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р) опасности, связанные с воздействием животных: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укуса;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разрыва;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раздавливания;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заражения;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выделений;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с) опасности, связанные с воздействием насекомых: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укуса;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попадания в организм;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инвазий гельминтов;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т) опасности, связанные с воздействием растений: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пыльцы, фитонцидов и других веществ, выделяемых растениями;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ожога выделяемыми растениями веществами;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пореза растениями;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у) опасность утонуть: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утонуть в водоеме;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утонуть в технологической емкости;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утонуть в момент затопления шахты;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ф) опасность расположения рабочего места: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опасности выполнения электромонтажных работ на столбах, опорах высоковольтных передач;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при выполнении альпинистских работ;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выполнения кровельных работ на крышах, имеющих большой угол наклона рабочей поверхности;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выполнением работ на значительной глубине;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выполнением работ под землей;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выполнением работ в туннелях;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выполнения водолазных работ;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х) опасности, связанные с организационными недостатками: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отсутствием на рабочем месте перечня возможных аварий;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допуском работников, не прошедших подготовку по охране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ц) опасности пожара: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от вдыхания дыма, паров вредных газов и пыли при пожаре;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воспламенения;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открытого пламени;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повышенной температуры окружающей среды;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пониженной концентрации кислорода в воздухе;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огнетушащих веществ;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осколков частей разрушившихся зданий, сооружений, строений;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ч) опасности обрушения: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обрушения подземных конструкций;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обрушения наземных конструкций;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ш) опасности транспорта: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наезда на человека;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падения с транспортного средства;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раздавливания человека, находящегося между двумя сближающимися транспортными средствами;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опрокидывания транспортного средства при нарушении способов установки и строповки грузов;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травмирования в результате дорожно-транспортного происшествия;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опрокидывания транспортного средства при проведении работ;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щ) опасность, связанная с дегустацией пищевых продуктов: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дегустацией отравленной пищи;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ы) опасности насилия: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насилия от враждебно настроенных работников;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насилия от третьих лиц;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э) опасности взрыва: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самовозгорания горючих веществ;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возникновения взрыва, происшедшего вследствие пожара;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ударной волны;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воздействия высокого давления при взрыве;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ожога при взрыве;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обрушения горных пород при взрыве;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ю) опасности, связанные с применением средств индивидуальной защиты: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 несоответствием средств индивидуальной защиты анатомическим особенностям человека;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опасность, связанная со скованностью, вызванной применением средств индивидуальной защиты;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отравления.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36. При рассмотрении перечисленных в пункте 35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Допускается использование разных методов оценки уровня профессиональных рисков для разных процессов и операций.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38. При описании процедуры управления профессиональными рисками работодателем учитывается следующее: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управление профессиональными рисками осуществляется с учетом текущей, прошлой и будущей деятельности работодателя;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тяжесть возможного ущерба растет пропорционально увеличению числа людей, подвергающихся опасности;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все оцененные профессиональные риски подлежат управлению;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эффективность разработанных мер по управлению профессиональными рисками должна постоянно оцениваться.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39. К мерам по исключению или снижению уровней профессиональных рисков относятся: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исключение опасной работы (процедуры);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замена опасной работы (процедуры) менее опасной;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реализация инженерных (технических) методов ограничения риска воздействия опасностей на работников;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реализация административных методов ограничения времени воздействия опасностей на работников;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использование средств индивидуальной защиты;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е) страхование профессионального риска.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42. Указанное в пункте 41 настоящего Типового положения информирование может осуществляться в форме: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включения соответствующих положений в трудовой договор работника;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ознакомления работника с результатами специальной оценки условий труда на его рабочем месте;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размещения сводных данных о результатах проведения специальной оценки условий труда на рабочих местах;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проведения совещаний, круглых столов, семинаров, конференций, встреч заинтересованных сторон, переговоров;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изготовления и распространения информационных бюллетеней, плакатов, иной печатной продукции, видео- и аудиоматериалов;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е) использования информационных ресурсов в информационно-телекоммуникационной сети "Интернет";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ж) размещения соответствующей информации в общедоступных местах.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44. К мероприятиям по обеспечению оптимальных режимов труда и отдыха работников относятся: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обеспечение рационального использования рабочего времени;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организация сменного режима работы, включая работу в ночное время;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поддержание высокого уровня работоспособности и профилактика утомляемости работников.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оказание безопасных услуг и предоставление безопасной продукции надлежащего качества;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эффективная связь и координация с уровнями управления работодателя до начала работы;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информирование работников подрядчика или поставщика об условиях труда у работодателя, имеющихся опасностях;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подготовка по охране труда работников подрядчика или поставщика с учетом специфики деятельности работодателя;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контроль выполнения подрядчиком или поставщиком требований работодателя в области охраны труда.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hpicrsacn6yh" w:id="6"/>
      <w:bookmarkEnd w:id="6"/>
      <w:r w:rsidDel="00000000" w:rsidR="00000000" w:rsidRPr="00000000">
        <w:rPr>
          <w:rtl w:val="0"/>
        </w:rPr>
        <w:t xml:space="preserve">VI. Планирование мероприятий по реализации процедур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52. В Плане отражаются: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общий перечень мероприятий, проводимых при реализации процедур;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ожидаемый результат по каждому мероприятию, проводимому при реализации процедур;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сроки реализации по каждому мероприятию, проводимому при реализации процедур;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ответственные лица за реализацию мероприятий, проводимых при реализации процедур, на каждом уровне управления;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е) источник финансирования мероприятий, проводимых при реализации процедур.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8u2ziq2xatk0" w:id="7"/>
      <w:bookmarkEnd w:id="7"/>
      <w:r w:rsidDel="00000000" w:rsidR="00000000" w:rsidRPr="00000000">
        <w:rPr>
          <w:rtl w:val="0"/>
        </w:rPr>
        <w:t xml:space="preserve">VII. Контроль функционирования СУОТ и мониторинг реализации процедур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получение информации для определения результативности и эффективности процедур;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получение данных, составляющих основу для принятия решений по совершенствованию СУОТ.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контроль эффективности функционирования СУОТ в целом.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56. Результаты контроля функционирования СУОТ и мониторинга реализации процедур оформляются работодателем в форме акта.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ppaevkpa1m9g" w:id="8"/>
      <w:bookmarkEnd w:id="8"/>
      <w:r w:rsidDel="00000000" w:rsidR="00000000" w:rsidRPr="00000000">
        <w:rPr>
          <w:rtl w:val="0"/>
        </w:rPr>
        <w:t xml:space="preserve">VIII. Планирование улучшений функционирования СУОТ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степень достижения целей работодателя в области охраны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способность СУОТ обеспечивать выполнение обязанностей работодателя, отраженных в Политике по охране труда;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необходимость обеспечения своевременной подготовки тех работников, которых затронут решения об изменении СУОТ;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е) необходимость изменения критериев оценки эффективности функционирования СУОТ.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both"/>
        <w:rPr/>
      </w:pPr>
      <w:bookmarkStart w:colFirst="0" w:colLast="0" w:name="_c24qst8twgxc" w:id="9"/>
      <w:bookmarkEnd w:id="9"/>
      <w:r w:rsidDel="00000000" w:rsidR="00000000" w:rsidRPr="00000000">
        <w:rPr>
          <w:rtl w:val="0"/>
        </w:rPr>
        <w:t xml:space="preserve">IX. Реагирование на аварии, несчастные случаи и профессиональные заболевания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возможность работников остановить работу и/или незамедлительно покинуть рабочее место и направиться в безопасное место;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невозобновление работы в условиях аварии;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62. Порядок проведения планового анализа действий работников в ходе указанных в подпункте "е" пункта 61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X. Управление документами СУОТ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а) акты и иные записи данных, вытекающие из осуществления СУОТ;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б) журналы учета и акты записей данных об авариях, несчастных случаях, профессиональных заболеваниях;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г) результаты контроля функционирования СУОТ.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